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B8D95" w14:textId="77777777" w:rsidR="00694EC9" w:rsidRPr="001E5536" w:rsidRDefault="00C70DDE" w:rsidP="002F47E0">
      <w:pPr>
        <w:jc w:val="center"/>
        <w:rPr>
          <w:rFonts w:ascii="Times New Roman" w:eastAsia="宋体" w:hAnsi="Times New Roman"/>
          <w:b/>
          <w:sz w:val="40"/>
          <w:szCs w:val="40"/>
        </w:rPr>
      </w:pPr>
      <w:r w:rsidRPr="001E5536">
        <w:rPr>
          <w:rFonts w:ascii="Times New Roman" w:eastAsia="宋体" w:hAnsi="Times New Roman" w:hint="eastAsia"/>
          <w:b/>
          <w:sz w:val="40"/>
          <w:szCs w:val="40"/>
        </w:rPr>
        <w:t>尚</w:t>
      </w:r>
      <w:proofErr w:type="gramStart"/>
      <w:r w:rsidRPr="001E5536">
        <w:rPr>
          <w:rFonts w:ascii="Times New Roman" w:eastAsia="宋体" w:hAnsi="Times New Roman" w:hint="eastAsia"/>
          <w:b/>
          <w:sz w:val="40"/>
          <w:szCs w:val="40"/>
        </w:rPr>
        <w:t>正基金</w:t>
      </w:r>
      <w:proofErr w:type="gramEnd"/>
      <w:r w:rsidRPr="001E5536">
        <w:rPr>
          <w:rFonts w:ascii="Times New Roman" w:eastAsia="宋体" w:hAnsi="Times New Roman" w:hint="eastAsia"/>
          <w:b/>
          <w:sz w:val="40"/>
          <w:szCs w:val="40"/>
        </w:rPr>
        <w:t>管理有限公司</w:t>
      </w:r>
    </w:p>
    <w:p w14:paraId="21A32D6D" w14:textId="53E3CD65" w:rsidR="00F13883" w:rsidRPr="001E5536" w:rsidRDefault="00C70DDE" w:rsidP="002F47E0">
      <w:pPr>
        <w:jc w:val="center"/>
        <w:rPr>
          <w:rFonts w:ascii="Times New Roman" w:eastAsia="宋体" w:hAnsi="Times New Roman"/>
          <w:b/>
          <w:sz w:val="40"/>
          <w:szCs w:val="40"/>
        </w:rPr>
      </w:pPr>
      <w:r w:rsidRPr="001E5536">
        <w:rPr>
          <w:rFonts w:ascii="Times New Roman" w:eastAsia="宋体" w:hAnsi="Times New Roman" w:hint="eastAsia"/>
          <w:b/>
          <w:sz w:val="40"/>
          <w:szCs w:val="40"/>
        </w:rPr>
        <w:t>关于</w:t>
      </w:r>
      <w:r w:rsidR="00994779" w:rsidRPr="00994779">
        <w:rPr>
          <w:rFonts w:ascii="Times New Roman" w:eastAsia="宋体" w:hAnsi="Times New Roman" w:hint="eastAsia"/>
          <w:b/>
          <w:sz w:val="40"/>
          <w:szCs w:val="40"/>
        </w:rPr>
        <w:t>尚正新能源产业混合型证券投资基金</w:t>
      </w:r>
      <w:r w:rsidR="000874DF" w:rsidRPr="001E5536">
        <w:rPr>
          <w:rFonts w:ascii="Times New Roman" w:eastAsia="宋体" w:hAnsi="Times New Roman" w:hint="eastAsia"/>
          <w:b/>
          <w:sz w:val="40"/>
          <w:szCs w:val="40"/>
        </w:rPr>
        <w:t>实行公司直销认购费率优惠的公告</w:t>
      </w:r>
    </w:p>
    <w:p w14:paraId="0C126D18" w14:textId="77777777" w:rsidR="00580DA2" w:rsidRPr="00B16D02" w:rsidRDefault="00580DA2" w:rsidP="002F47E0">
      <w:pPr>
        <w:jc w:val="center"/>
        <w:rPr>
          <w:b/>
          <w:sz w:val="28"/>
        </w:rPr>
      </w:pPr>
    </w:p>
    <w:p w14:paraId="39EFE891" w14:textId="2AEA75A4" w:rsidR="00987BA7" w:rsidRPr="00D46603" w:rsidRDefault="004C4BD0" w:rsidP="004C4BD0">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为了更好</w:t>
      </w:r>
      <w:r w:rsidR="00632700" w:rsidRPr="00D46603">
        <w:rPr>
          <w:rFonts w:ascii="Times New Roman" w:eastAsia="宋体" w:hAnsi="Times New Roman" w:hint="eastAsia"/>
          <w:sz w:val="24"/>
          <w:szCs w:val="24"/>
        </w:rPr>
        <w:t>地</w:t>
      </w:r>
      <w:r w:rsidRPr="00D46603">
        <w:rPr>
          <w:rFonts w:ascii="Times New Roman" w:eastAsia="宋体" w:hAnsi="Times New Roman" w:hint="eastAsia"/>
          <w:sz w:val="24"/>
          <w:szCs w:val="24"/>
        </w:rPr>
        <w:t>满足投资者的</w:t>
      </w:r>
      <w:r w:rsidR="00D7109D" w:rsidRPr="00D46603">
        <w:rPr>
          <w:rFonts w:ascii="Times New Roman" w:eastAsia="宋体" w:hAnsi="Times New Roman" w:hint="eastAsia"/>
          <w:sz w:val="24"/>
          <w:szCs w:val="24"/>
        </w:rPr>
        <w:t>投资</w:t>
      </w:r>
      <w:r w:rsidRPr="00D46603">
        <w:rPr>
          <w:rFonts w:ascii="Times New Roman" w:eastAsia="宋体" w:hAnsi="Times New Roman" w:hint="eastAsia"/>
          <w:sz w:val="24"/>
          <w:szCs w:val="24"/>
        </w:rPr>
        <w:t>需求，</w:t>
      </w:r>
      <w:r w:rsidR="0061696F" w:rsidRPr="00D46603">
        <w:rPr>
          <w:rFonts w:ascii="Times New Roman" w:eastAsia="宋体" w:hAnsi="Times New Roman" w:hint="eastAsia"/>
          <w:sz w:val="24"/>
          <w:szCs w:val="24"/>
        </w:rPr>
        <w:t>尚</w:t>
      </w:r>
      <w:proofErr w:type="gramStart"/>
      <w:r w:rsidR="0061696F" w:rsidRPr="00D46603">
        <w:rPr>
          <w:rFonts w:ascii="Times New Roman" w:eastAsia="宋体" w:hAnsi="Times New Roman" w:hint="eastAsia"/>
          <w:sz w:val="24"/>
          <w:szCs w:val="24"/>
        </w:rPr>
        <w:t>正</w:t>
      </w:r>
      <w:r w:rsidRPr="00D46603">
        <w:rPr>
          <w:rFonts w:ascii="Times New Roman" w:eastAsia="宋体" w:hAnsi="Times New Roman" w:hint="eastAsia"/>
          <w:sz w:val="24"/>
          <w:szCs w:val="24"/>
        </w:rPr>
        <w:t>基金</w:t>
      </w:r>
      <w:proofErr w:type="gramEnd"/>
      <w:r w:rsidRPr="00D46603">
        <w:rPr>
          <w:rFonts w:ascii="Times New Roman" w:eastAsia="宋体" w:hAnsi="Times New Roman" w:hint="eastAsia"/>
          <w:sz w:val="24"/>
          <w:szCs w:val="24"/>
        </w:rPr>
        <w:t>管理有限公司（以下简称“本公司”）决定自</w:t>
      </w:r>
      <w:r w:rsidR="000F068D" w:rsidRPr="00D46603">
        <w:rPr>
          <w:rFonts w:ascii="Times New Roman" w:eastAsia="宋体" w:hAnsi="Times New Roman" w:hint="eastAsia"/>
          <w:sz w:val="24"/>
          <w:szCs w:val="24"/>
        </w:rPr>
        <w:t>202</w:t>
      </w:r>
      <w:r w:rsidR="000F068D" w:rsidRPr="00D46603">
        <w:rPr>
          <w:rFonts w:ascii="Times New Roman" w:eastAsia="宋体" w:hAnsi="Times New Roman"/>
          <w:sz w:val="24"/>
          <w:szCs w:val="24"/>
        </w:rPr>
        <w:t>2</w:t>
      </w:r>
      <w:r w:rsidRPr="00D46603">
        <w:rPr>
          <w:rFonts w:ascii="Times New Roman" w:eastAsia="宋体" w:hAnsi="Times New Roman" w:hint="eastAsia"/>
          <w:sz w:val="24"/>
          <w:szCs w:val="24"/>
        </w:rPr>
        <w:t>年</w:t>
      </w:r>
      <w:r w:rsidR="000F068D" w:rsidRPr="00D46603">
        <w:rPr>
          <w:rFonts w:ascii="Times New Roman" w:eastAsia="宋体" w:hAnsi="Times New Roman"/>
          <w:sz w:val="24"/>
          <w:szCs w:val="24"/>
        </w:rPr>
        <w:t>7</w:t>
      </w:r>
      <w:r w:rsidRPr="00D46603">
        <w:rPr>
          <w:rFonts w:ascii="Times New Roman" w:eastAsia="宋体" w:hAnsi="Times New Roman" w:hint="eastAsia"/>
          <w:sz w:val="24"/>
          <w:szCs w:val="24"/>
        </w:rPr>
        <w:t>月</w:t>
      </w:r>
      <w:r w:rsidR="000F068D" w:rsidRPr="00D46603">
        <w:rPr>
          <w:rFonts w:ascii="Times New Roman" w:eastAsia="宋体" w:hAnsi="Times New Roman"/>
          <w:sz w:val="24"/>
          <w:szCs w:val="24"/>
        </w:rPr>
        <w:t>18</w:t>
      </w:r>
      <w:r w:rsidRPr="00D46603">
        <w:rPr>
          <w:rFonts w:ascii="Times New Roman" w:eastAsia="宋体" w:hAnsi="Times New Roman" w:hint="eastAsia"/>
          <w:sz w:val="24"/>
          <w:szCs w:val="24"/>
        </w:rPr>
        <w:t>日至</w:t>
      </w:r>
      <w:r w:rsidR="000F068D" w:rsidRPr="00D46603">
        <w:rPr>
          <w:rFonts w:ascii="Times New Roman" w:eastAsia="宋体" w:hAnsi="Times New Roman" w:hint="eastAsia"/>
          <w:sz w:val="24"/>
          <w:szCs w:val="24"/>
        </w:rPr>
        <w:t>202</w:t>
      </w:r>
      <w:r w:rsidR="000F068D" w:rsidRPr="00D46603">
        <w:rPr>
          <w:rFonts w:ascii="Times New Roman" w:eastAsia="宋体" w:hAnsi="Times New Roman"/>
          <w:sz w:val="24"/>
          <w:szCs w:val="24"/>
        </w:rPr>
        <w:t>2</w:t>
      </w:r>
      <w:r w:rsidRPr="00D46603">
        <w:rPr>
          <w:rFonts w:ascii="Times New Roman" w:eastAsia="宋体" w:hAnsi="Times New Roman" w:hint="eastAsia"/>
          <w:sz w:val="24"/>
          <w:szCs w:val="24"/>
        </w:rPr>
        <w:t>年</w:t>
      </w:r>
      <w:r w:rsidR="000F068D" w:rsidRPr="00D46603">
        <w:rPr>
          <w:rFonts w:ascii="Times New Roman" w:eastAsia="宋体" w:hAnsi="Times New Roman"/>
          <w:sz w:val="24"/>
          <w:szCs w:val="24"/>
        </w:rPr>
        <w:t>8</w:t>
      </w:r>
      <w:r w:rsidRPr="00D46603">
        <w:rPr>
          <w:rFonts w:ascii="Times New Roman" w:eastAsia="宋体" w:hAnsi="Times New Roman" w:hint="eastAsia"/>
          <w:sz w:val="24"/>
          <w:szCs w:val="24"/>
        </w:rPr>
        <w:t>月</w:t>
      </w:r>
      <w:r w:rsidR="000F068D" w:rsidRPr="00D46603">
        <w:rPr>
          <w:rFonts w:ascii="Times New Roman" w:eastAsia="宋体" w:hAnsi="Times New Roman"/>
          <w:sz w:val="24"/>
          <w:szCs w:val="24"/>
        </w:rPr>
        <w:t>5</w:t>
      </w:r>
      <w:r w:rsidRPr="00D46603">
        <w:rPr>
          <w:rFonts w:ascii="Times New Roman" w:eastAsia="宋体" w:hAnsi="Times New Roman" w:hint="eastAsia"/>
          <w:sz w:val="24"/>
          <w:szCs w:val="24"/>
        </w:rPr>
        <w:t>日，对投资者通过直销柜台认购</w:t>
      </w:r>
      <w:r w:rsidR="004B5B59" w:rsidRPr="00D46603">
        <w:rPr>
          <w:rFonts w:ascii="Times New Roman" w:eastAsia="宋体" w:hAnsi="Times New Roman" w:hint="eastAsia"/>
          <w:sz w:val="24"/>
          <w:szCs w:val="24"/>
        </w:rPr>
        <w:t>尚正新能源产业混合型证券投资基金</w:t>
      </w:r>
      <w:r w:rsidRPr="00D46603">
        <w:rPr>
          <w:rFonts w:ascii="Times New Roman" w:eastAsia="宋体" w:hAnsi="Times New Roman" w:hint="eastAsia"/>
          <w:sz w:val="24"/>
          <w:szCs w:val="24"/>
        </w:rPr>
        <w:t>（以下简称“本基金”）实行认购费率优惠。现将有关事项公告如下：</w:t>
      </w:r>
    </w:p>
    <w:p w14:paraId="43B9DB04" w14:textId="77777777" w:rsidR="00DE2D68" w:rsidRPr="00D46603" w:rsidRDefault="00DE2D68" w:rsidP="00DE2D68">
      <w:pPr>
        <w:pStyle w:val="1"/>
        <w:spacing w:before="0" w:after="0"/>
        <w:ind w:firstLineChars="200" w:firstLine="482"/>
        <w:jc w:val="both"/>
        <w:rPr>
          <w:sz w:val="24"/>
        </w:rPr>
      </w:pPr>
      <w:r w:rsidRPr="00D46603">
        <w:rPr>
          <w:rFonts w:hint="eastAsia"/>
          <w:sz w:val="24"/>
        </w:rPr>
        <w:t>一、</w:t>
      </w:r>
      <w:r w:rsidR="00386E87" w:rsidRPr="00D46603">
        <w:rPr>
          <w:rFonts w:hint="eastAsia"/>
          <w:sz w:val="24"/>
        </w:rPr>
        <w:t>适用范围</w:t>
      </w:r>
    </w:p>
    <w:p w14:paraId="4C140836" w14:textId="77777777" w:rsidR="002816EF" w:rsidRPr="00D46603" w:rsidRDefault="002816EF" w:rsidP="0076084C">
      <w:pPr>
        <w:spacing w:line="360" w:lineRule="auto"/>
        <w:ind w:firstLineChars="200" w:firstLine="480"/>
        <w:rPr>
          <w:rFonts w:ascii="Times New Roman" w:eastAsia="宋体" w:hAnsi="Times New Roman"/>
          <w:sz w:val="24"/>
        </w:rPr>
      </w:pPr>
      <w:r w:rsidRPr="00D46603">
        <w:rPr>
          <w:rFonts w:ascii="Times New Roman" w:eastAsia="宋体" w:hAnsi="Times New Roman" w:hint="eastAsia"/>
          <w:sz w:val="24"/>
          <w:szCs w:val="24"/>
        </w:rPr>
        <w:t>1</w:t>
      </w:r>
      <w:r w:rsidRPr="00D46603">
        <w:rPr>
          <w:rFonts w:ascii="Times New Roman" w:eastAsia="宋体" w:hAnsi="Times New Roman" w:hint="eastAsia"/>
          <w:sz w:val="24"/>
          <w:szCs w:val="24"/>
        </w:rPr>
        <w:t>、</w:t>
      </w:r>
      <w:r w:rsidR="00720F00" w:rsidRPr="00D46603">
        <w:rPr>
          <w:rFonts w:ascii="Times New Roman" w:eastAsia="宋体" w:hAnsi="Times New Roman" w:hint="eastAsia"/>
          <w:sz w:val="24"/>
          <w:szCs w:val="24"/>
        </w:rPr>
        <w:t>适用基金</w:t>
      </w:r>
    </w:p>
    <w:p w14:paraId="378BDEB4" w14:textId="19E1C17D" w:rsidR="009955C8" w:rsidRPr="00D46603" w:rsidRDefault="001D6642" w:rsidP="004C4BD0">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尚正新能源产业混合型证券投资基金</w:t>
      </w:r>
      <w:r w:rsidR="002B69C2" w:rsidRPr="00D46603">
        <w:rPr>
          <w:rFonts w:ascii="Times New Roman" w:eastAsia="宋体" w:hAnsi="Times New Roman" w:hint="eastAsia"/>
          <w:sz w:val="24"/>
          <w:szCs w:val="24"/>
        </w:rPr>
        <w:t>A</w:t>
      </w:r>
      <w:r w:rsidR="002B69C2" w:rsidRPr="00D46603">
        <w:rPr>
          <w:rFonts w:ascii="Times New Roman" w:eastAsia="宋体" w:hAnsi="Times New Roman" w:hint="eastAsia"/>
          <w:sz w:val="24"/>
          <w:szCs w:val="24"/>
        </w:rPr>
        <w:t>类</w:t>
      </w:r>
      <w:r w:rsidR="00F915EC" w:rsidRPr="00D46603">
        <w:rPr>
          <w:rFonts w:ascii="Times New Roman" w:eastAsia="宋体" w:hAnsi="Times New Roman" w:hint="eastAsia"/>
          <w:sz w:val="24"/>
          <w:szCs w:val="24"/>
        </w:rPr>
        <w:t>基金份额</w:t>
      </w:r>
      <w:r w:rsidR="009A558B" w:rsidRPr="00D46603">
        <w:rPr>
          <w:rFonts w:ascii="Times New Roman" w:eastAsia="宋体" w:hAnsi="Times New Roman" w:hint="eastAsia"/>
          <w:sz w:val="24"/>
          <w:szCs w:val="24"/>
        </w:rPr>
        <w:t>（基金代码：</w:t>
      </w:r>
      <w:r w:rsidR="00E43AF1" w:rsidRPr="00D46603">
        <w:rPr>
          <w:rFonts w:ascii="Times New Roman" w:eastAsia="宋体" w:hAnsi="Times New Roman"/>
          <w:sz w:val="24"/>
          <w:szCs w:val="24"/>
        </w:rPr>
        <w:t>015732</w:t>
      </w:r>
      <w:r w:rsidR="009A558B" w:rsidRPr="00D46603">
        <w:rPr>
          <w:rFonts w:ascii="Times New Roman" w:eastAsia="宋体" w:hAnsi="Times New Roman" w:hint="eastAsia"/>
          <w:sz w:val="24"/>
          <w:szCs w:val="24"/>
        </w:rPr>
        <w:t>）</w:t>
      </w:r>
    </w:p>
    <w:p w14:paraId="0BEB6620" w14:textId="77777777" w:rsidR="00BC31B5" w:rsidRPr="00D46603" w:rsidRDefault="00FE797F" w:rsidP="0076084C">
      <w:pPr>
        <w:spacing w:line="360" w:lineRule="auto"/>
        <w:ind w:firstLineChars="200" w:firstLine="480"/>
        <w:rPr>
          <w:rFonts w:ascii="Times New Roman" w:eastAsia="宋体" w:hAnsi="Times New Roman"/>
          <w:sz w:val="24"/>
          <w:szCs w:val="24"/>
        </w:rPr>
      </w:pPr>
      <w:r w:rsidRPr="00D46603">
        <w:rPr>
          <w:rFonts w:ascii="Times New Roman" w:eastAsia="宋体" w:hAnsi="Times New Roman"/>
          <w:sz w:val="24"/>
          <w:szCs w:val="24"/>
        </w:rPr>
        <w:t>2</w:t>
      </w:r>
      <w:r w:rsidR="00BC31B5" w:rsidRPr="00D46603">
        <w:rPr>
          <w:rFonts w:ascii="Times New Roman" w:eastAsia="宋体" w:hAnsi="Times New Roman" w:hint="eastAsia"/>
          <w:sz w:val="24"/>
          <w:szCs w:val="24"/>
        </w:rPr>
        <w:t>、</w:t>
      </w:r>
      <w:r w:rsidR="009E5478" w:rsidRPr="00D46603">
        <w:rPr>
          <w:rFonts w:ascii="Times New Roman" w:eastAsia="宋体" w:hAnsi="Times New Roman" w:hint="eastAsia"/>
          <w:sz w:val="24"/>
          <w:szCs w:val="24"/>
        </w:rPr>
        <w:t>适用渠道</w:t>
      </w:r>
    </w:p>
    <w:p w14:paraId="60B99F15" w14:textId="1DE8D8DA" w:rsidR="009D5116" w:rsidRPr="00D46603" w:rsidRDefault="00534656" w:rsidP="004C4BD0">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本次认购费率优惠仅对</w:t>
      </w:r>
      <w:r w:rsidR="0039003C" w:rsidRPr="00D46603">
        <w:rPr>
          <w:rFonts w:ascii="Times New Roman" w:eastAsia="宋体" w:hAnsi="Times New Roman" w:hint="eastAsia"/>
          <w:sz w:val="24"/>
          <w:szCs w:val="24"/>
        </w:rPr>
        <w:t>普通</w:t>
      </w:r>
      <w:r w:rsidR="00F915EC" w:rsidRPr="00D46603">
        <w:rPr>
          <w:rFonts w:ascii="Times New Roman" w:eastAsia="宋体" w:hAnsi="Times New Roman" w:hint="eastAsia"/>
          <w:sz w:val="24"/>
          <w:szCs w:val="24"/>
        </w:rPr>
        <w:t>客户</w:t>
      </w:r>
      <w:r w:rsidRPr="00D46603">
        <w:rPr>
          <w:rFonts w:ascii="Times New Roman" w:eastAsia="宋体" w:hAnsi="Times New Roman" w:hint="eastAsia"/>
          <w:sz w:val="24"/>
          <w:szCs w:val="24"/>
        </w:rPr>
        <w:t>通过本公司直销</w:t>
      </w:r>
      <w:r w:rsidR="00933D4E" w:rsidRPr="00D46603">
        <w:rPr>
          <w:rFonts w:ascii="Times New Roman" w:eastAsia="宋体" w:hAnsi="Times New Roman" w:hint="eastAsia"/>
          <w:sz w:val="24"/>
          <w:szCs w:val="24"/>
        </w:rPr>
        <w:t>柜台</w:t>
      </w:r>
      <w:r w:rsidRPr="00D46603">
        <w:rPr>
          <w:rFonts w:ascii="Times New Roman" w:eastAsia="宋体" w:hAnsi="Times New Roman" w:hint="eastAsia"/>
          <w:sz w:val="24"/>
          <w:szCs w:val="24"/>
        </w:rPr>
        <w:t>进行的认购申请有效</w:t>
      </w:r>
      <w:r w:rsidR="00200A33" w:rsidRPr="00D46603">
        <w:rPr>
          <w:rFonts w:ascii="Times New Roman" w:eastAsia="宋体" w:hAnsi="Times New Roman" w:hint="eastAsia"/>
          <w:sz w:val="24"/>
          <w:szCs w:val="24"/>
        </w:rPr>
        <w:t>。</w:t>
      </w:r>
    </w:p>
    <w:p w14:paraId="4C18D114" w14:textId="77777777" w:rsidR="00F3322F" w:rsidRPr="00D46603" w:rsidRDefault="00F3322F" w:rsidP="0076084C">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3</w:t>
      </w:r>
      <w:r w:rsidRPr="00D46603">
        <w:rPr>
          <w:rFonts w:ascii="Times New Roman" w:eastAsia="宋体" w:hAnsi="Times New Roman" w:hint="eastAsia"/>
          <w:sz w:val="24"/>
          <w:szCs w:val="24"/>
        </w:rPr>
        <w:t>、优惠活动期间</w:t>
      </w:r>
    </w:p>
    <w:p w14:paraId="6F19CE0B" w14:textId="56B79E77" w:rsidR="00F3322F" w:rsidRPr="00D46603" w:rsidRDefault="0084699B" w:rsidP="004C4BD0">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2</w:t>
      </w:r>
      <w:r w:rsidRPr="00D46603">
        <w:rPr>
          <w:rFonts w:ascii="Times New Roman" w:eastAsia="宋体" w:hAnsi="Times New Roman"/>
          <w:sz w:val="24"/>
          <w:szCs w:val="24"/>
        </w:rPr>
        <w:t>022</w:t>
      </w:r>
      <w:r w:rsidR="00D44743" w:rsidRPr="00D46603">
        <w:rPr>
          <w:rFonts w:ascii="Times New Roman" w:eastAsia="宋体" w:hAnsi="Times New Roman"/>
          <w:sz w:val="24"/>
          <w:szCs w:val="24"/>
        </w:rPr>
        <w:t>年</w:t>
      </w:r>
      <w:r w:rsidRPr="00D46603">
        <w:rPr>
          <w:rFonts w:ascii="Times New Roman" w:eastAsia="宋体" w:hAnsi="Times New Roman"/>
          <w:sz w:val="24"/>
          <w:szCs w:val="24"/>
        </w:rPr>
        <w:t>7</w:t>
      </w:r>
      <w:r w:rsidR="00D44743" w:rsidRPr="00D46603">
        <w:rPr>
          <w:rFonts w:ascii="Times New Roman" w:eastAsia="宋体" w:hAnsi="Times New Roman"/>
          <w:sz w:val="24"/>
          <w:szCs w:val="24"/>
        </w:rPr>
        <w:t>月</w:t>
      </w:r>
      <w:r w:rsidRPr="00D46603">
        <w:rPr>
          <w:rFonts w:ascii="Times New Roman" w:eastAsia="宋体" w:hAnsi="Times New Roman"/>
          <w:sz w:val="24"/>
          <w:szCs w:val="24"/>
        </w:rPr>
        <w:t>18</w:t>
      </w:r>
      <w:r w:rsidR="00D44743" w:rsidRPr="00D46603">
        <w:rPr>
          <w:rFonts w:ascii="Times New Roman" w:eastAsia="宋体" w:hAnsi="Times New Roman"/>
          <w:sz w:val="24"/>
          <w:szCs w:val="24"/>
        </w:rPr>
        <w:t>日至</w:t>
      </w:r>
      <w:r w:rsidRPr="00D46603">
        <w:rPr>
          <w:rFonts w:ascii="Times New Roman" w:eastAsia="宋体" w:hAnsi="Times New Roman" w:hint="eastAsia"/>
          <w:sz w:val="24"/>
          <w:szCs w:val="24"/>
        </w:rPr>
        <w:t>2</w:t>
      </w:r>
      <w:r w:rsidRPr="00D46603">
        <w:rPr>
          <w:rFonts w:ascii="Times New Roman" w:eastAsia="宋体" w:hAnsi="Times New Roman"/>
          <w:sz w:val="24"/>
          <w:szCs w:val="24"/>
        </w:rPr>
        <w:t>022</w:t>
      </w:r>
      <w:r w:rsidR="00D44743" w:rsidRPr="00D46603">
        <w:rPr>
          <w:rFonts w:ascii="Times New Roman" w:eastAsia="宋体" w:hAnsi="Times New Roman"/>
          <w:sz w:val="24"/>
          <w:szCs w:val="24"/>
        </w:rPr>
        <w:t>年</w:t>
      </w:r>
      <w:r w:rsidRPr="00D46603">
        <w:rPr>
          <w:rFonts w:ascii="Times New Roman" w:eastAsia="宋体" w:hAnsi="Times New Roman"/>
          <w:sz w:val="24"/>
          <w:szCs w:val="24"/>
        </w:rPr>
        <w:t>8</w:t>
      </w:r>
      <w:r w:rsidR="00D44743" w:rsidRPr="00D46603">
        <w:rPr>
          <w:rFonts w:ascii="Times New Roman" w:eastAsia="宋体" w:hAnsi="Times New Roman"/>
          <w:sz w:val="24"/>
          <w:szCs w:val="24"/>
        </w:rPr>
        <w:t>月</w:t>
      </w:r>
      <w:r w:rsidRPr="00D46603">
        <w:rPr>
          <w:rFonts w:ascii="Times New Roman" w:eastAsia="宋体" w:hAnsi="Times New Roman"/>
          <w:sz w:val="24"/>
          <w:szCs w:val="24"/>
        </w:rPr>
        <w:t>5</w:t>
      </w:r>
      <w:r w:rsidR="00D44743" w:rsidRPr="00D46603">
        <w:rPr>
          <w:rFonts w:ascii="Times New Roman" w:eastAsia="宋体" w:hAnsi="Times New Roman"/>
          <w:sz w:val="24"/>
          <w:szCs w:val="24"/>
        </w:rPr>
        <w:t>日</w:t>
      </w:r>
      <w:r w:rsidR="00F915EC" w:rsidRPr="00D46603">
        <w:rPr>
          <w:rFonts w:ascii="Times New Roman" w:eastAsia="宋体" w:hAnsi="Times New Roman" w:hint="eastAsia"/>
          <w:sz w:val="24"/>
          <w:szCs w:val="24"/>
        </w:rPr>
        <w:t>。</w:t>
      </w:r>
      <w:r w:rsidR="00882DF5" w:rsidRPr="00D46603">
        <w:rPr>
          <w:rFonts w:ascii="Times New Roman" w:eastAsia="宋体" w:hAnsi="Times New Roman" w:hint="eastAsia"/>
          <w:sz w:val="24"/>
          <w:szCs w:val="24"/>
        </w:rPr>
        <w:t xml:space="preserve"> </w:t>
      </w:r>
    </w:p>
    <w:p w14:paraId="4C027DC5" w14:textId="77777777" w:rsidR="00BE7816" w:rsidRPr="00D46603" w:rsidRDefault="00130B06" w:rsidP="00BE7816">
      <w:pPr>
        <w:pStyle w:val="1"/>
        <w:spacing w:before="0" w:after="0"/>
        <w:ind w:firstLineChars="200" w:firstLine="482"/>
        <w:jc w:val="both"/>
        <w:rPr>
          <w:sz w:val="24"/>
        </w:rPr>
      </w:pPr>
      <w:r w:rsidRPr="00D46603">
        <w:rPr>
          <w:rFonts w:hint="eastAsia"/>
          <w:sz w:val="24"/>
        </w:rPr>
        <w:t>二</w:t>
      </w:r>
      <w:r w:rsidR="00BE7816" w:rsidRPr="00D46603">
        <w:rPr>
          <w:rFonts w:hint="eastAsia"/>
          <w:sz w:val="24"/>
        </w:rPr>
        <w:t>、</w:t>
      </w:r>
      <w:r w:rsidR="00D571FD" w:rsidRPr="00D46603">
        <w:rPr>
          <w:rFonts w:hint="eastAsia"/>
          <w:sz w:val="24"/>
        </w:rPr>
        <w:t>优惠费率</w:t>
      </w:r>
    </w:p>
    <w:p w14:paraId="169FDF7C" w14:textId="78A73550" w:rsidR="00465AEC" w:rsidRPr="00D46603" w:rsidRDefault="00731451" w:rsidP="004C4BD0">
      <w:pPr>
        <w:spacing w:line="360" w:lineRule="auto"/>
        <w:ind w:firstLineChars="200" w:firstLine="480"/>
        <w:rPr>
          <w:rFonts w:ascii="Times New Roman" w:eastAsia="宋体" w:hAnsi="Times New Roman"/>
          <w:sz w:val="24"/>
          <w:szCs w:val="24"/>
        </w:rPr>
      </w:pPr>
      <w:r w:rsidRPr="00D46603">
        <w:rPr>
          <w:rFonts w:ascii="Times New Roman" w:eastAsia="宋体" w:hAnsi="Times New Roman" w:hint="eastAsia"/>
          <w:sz w:val="24"/>
          <w:szCs w:val="24"/>
        </w:rPr>
        <w:t>投资者通过本公司直销</w:t>
      </w:r>
      <w:r w:rsidR="00F915EC" w:rsidRPr="00D46603">
        <w:rPr>
          <w:rFonts w:ascii="Times New Roman" w:eastAsia="宋体" w:hAnsi="Times New Roman" w:hint="eastAsia"/>
          <w:sz w:val="24"/>
          <w:szCs w:val="24"/>
        </w:rPr>
        <w:t>柜台</w:t>
      </w:r>
      <w:r w:rsidRPr="00D46603">
        <w:rPr>
          <w:rFonts w:ascii="Times New Roman" w:eastAsia="宋体" w:hAnsi="Times New Roman" w:hint="eastAsia"/>
          <w:sz w:val="24"/>
          <w:szCs w:val="24"/>
        </w:rPr>
        <w:t>认购本基金</w:t>
      </w:r>
      <w:r w:rsidRPr="00D46603">
        <w:rPr>
          <w:rFonts w:ascii="Times New Roman" w:eastAsia="宋体" w:hAnsi="Times New Roman" w:hint="eastAsia"/>
          <w:sz w:val="24"/>
          <w:szCs w:val="24"/>
        </w:rPr>
        <w:t>A</w:t>
      </w:r>
      <w:r w:rsidRPr="00D46603">
        <w:rPr>
          <w:rFonts w:ascii="Times New Roman" w:eastAsia="宋体" w:hAnsi="Times New Roman" w:hint="eastAsia"/>
          <w:sz w:val="24"/>
          <w:szCs w:val="24"/>
        </w:rPr>
        <w:t>类</w:t>
      </w:r>
      <w:r w:rsidR="00F915EC" w:rsidRPr="00D46603">
        <w:rPr>
          <w:rFonts w:ascii="Times New Roman" w:eastAsia="宋体" w:hAnsi="Times New Roman" w:hint="eastAsia"/>
          <w:sz w:val="24"/>
          <w:szCs w:val="24"/>
        </w:rPr>
        <w:t>基金</w:t>
      </w:r>
      <w:r w:rsidRPr="00D46603">
        <w:rPr>
          <w:rFonts w:ascii="Times New Roman" w:eastAsia="宋体" w:hAnsi="Times New Roman" w:hint="eastAsia"/>
          <w:sz w:val="24"/>
          <w:szCs w:val="24"/>
        </w:rPr>
        <w:t>份额，单笔认购金额</w:t>
      </w:r>
      <w:r w:rsidRPr="00D46603">
        <w:rPr>
          <w:rFonts w:ascii="Times New Roman" w:eastAsia="宋体" w:hAnsi="Times New Roman" w:hint="eastAsia"/>
          <w:sz w:val="24"/>
          <w:szCs w:val="24"/>
        </w:rPr>
        <w:t>500</w:t>
      </w:r>
      <w:r w:rsidRPr="00D46603">
        <w:rPr>
          <w:rFonts w:ascii="Times New Roman" w:eastAsia="宋体" w:hAnsi="Times New Roman" w:hint="eastAsia"/>
          <w:sz w:val="24"/>
          <w:szCs w:val="24"/>
        </w:rPr>
        <w:t>万元以下的普通认购费率实行</w:t>
      </w:r>
      <w:r w:rsidRPr="00D46603">
        <w:rPr>
          <w:rFonts w:ascii="Times New Roman" w:eastAsia="宋体" w:hAnsi="Times New Roman" w:hint="eastAsia"/>
          <w:sz w:val="24"/>
          <w:szCs w:val="24"/>
        </w:rPr>
        <w:t>1</w:t>
      </w:r>
      <w:r w:rsidRPr="00D46603">
        <w:rPr>
          <w:rFonts w:ascii="Times New Roman" w:eastAsia="宋体" w:hAnsi="Times New Roman" w:hint="eastAsia"/>
          <w:sz w:val="24"/>
          <w:szCs w:val="24"/>
        </w:rPr>
        <w:t>折优惠，</w:t>
      </w:r>
      <w:r w:rsidRPr="00D46603">
        <w:rPr>
          <w:rFonts w:ascii="Times New Roman" w:eastAsia="宋体" w:hAnsi="Times New Roman" w:hint="eastAsia"/>
          <w:sz w:val="24"/>
          <w:szCs w:val="24"/>
        </w:rPr>
        <w:t>500</w:t>
      </w:r>
      <w:r w:rsidRPr="00D46603">
        <w:rPr>
          <w:rFonts w:ascii="Times New Roman" w:eastAsia="宋体" w:hAnsi="Times New Roman" w:hint="eastAsia"/>
          <w:sz w:val="24"/>
          <w:szCs w:val="24"/>
        </w:rPr>
        <w:t>万元以上</w:t>
      </w:r>
      <w:r w:rsidR="00F915EC" w:rsidRPr="00D46603">
        <w:rPr>
          <w:rFonts w:ascii="Times New Roman" w:eastAsia="宋体" w:hAnsi="Times New Roman" w:hint="eastAsia"/>
          <w:sz w:val="24"/>
          <w:szCs w:val="24"/>
        </w:rPr>
        <w:t>（含）</w:t>
      </w:r>
      <w:r w:rsidRPr="00D46603">
        <w:rPr>
          <w:rFonts w:ascii="Times New Roman" w:eastAsia="宋体" w:hAnsi="Times New Roman" w:hint="eastAsia"/>
          <w:sz w:val="24"/>
          <w:szCs w:val="24"/>
        </w:rPr>
        <w:t>执行原费率</w:t>
      </w:r>
      <w:r w:rsidR="00F915EC" w:rsidRPr="00D46603">
        <w:rPr>
          <w:rFonts w:ascii="Times New Roman" w:eastAsia="宋体" w:hAnsi="Times New Roman" w:hint="eastAsia"/>
          <w:sz w:val="24"/>
          <w:szCs w:val="24"/>
        </w:rPr>
        <w:t>。普通客户通过本公司直销柜台认购本基金</w:t>
      </w:r>
      <w:r w:rsidR="00F915EC" w:rsidRPr="00D46603">
        <w:rPr>
          <w:rFonts w:ascii="Times New Roman" w:eastAsia="宋体" w:hAnsi="Times New Roman" w:hint="eastAsia"/>
          <w:sz w:val="24"/>
          <w:szCs w:val="24"/>
        </w:rPr>
        <w:t>A</w:t>
      </w:r>
      <w:r w:rsidR="00F915EC" w:rsidRPr="00D46603">
        <w:rPr>
          <w:rFonts w:ascii="Times New Roman" w:eastAsia="宋体" w:hAnsi="Times New Roman" w:hint="eastAsia"/>
          <w:sz w:val="24"/>
          <w:szCs w:val="24"/>
        </w:rPr>
        <w:t>类基金份额的</w:t>
      </w:r>
      <w:r w:rsidR="001E0270" w:rsidRPr="00D46603">
        <w:rPr>
          <w:rFonts w:ascii="Times New Roman" w:eastAsia="宋体" w:hAnsi="Times New Roman" w:hint="eastAsia"/>
          <w:sz w:val="24"/>
          <w:szCs w:val="24"/>
        </w:rPr>
        <w:t>优惠</w:t>
      </w:r>
      <w:r w:rsidR="00F915EC" w:rsidRPr="00D46603">
        <w:rPr>
          <w:rFonts w:ascii="Times New Roman" w:eastAsia="宋体" w:hAnsi="Times New Roman" w:hint="eastAsia"/>
          <w:sz w:val="24"/>
          <w:szCs w:val="24"/>
        </w:rPr>
        <w:t>费率如下</w:t>
      </w:r>
      <w:r w:rsidRPr="00D46603">
        <w:rPr>
          <w:rFonts w:ascii="Times New Roman" w:eastAsia="宋体" w:hAnsi="Times New Roman" w:hint="eastAsia"/>
          <w:sz w:val="24"/>
          <w:szCs w:val="24"/>
        </w:rPr>
        <w:t>：</w:t>
      </w:r>
    </w:p>
    <w:tbl>
      <w:tblPr>
        <w:tblW w:w="5297" w:type="pct"/>
        <w:jc w:val="center"/>
        <w:tblLook w:val="04A0" w:firstRow="1" w:lastRow="0" w:firstColumn="1" w:lastColumn="0" w:noHBand="0" w:noVBand="1"/>
      </w:tblPr>
      <w:tblGrid>
        <w:gridCol w:w="2830"/>
        <w:gridCol w:w="2988"/>
        <w:gridCol w:w="2960"/>
      </w:tblGrid>
      <w:tr w:rsidR="002D1B60" w:rsidRPr="000C22EF" w14:paraId="5CEBE141" w14:textId="77777777" w:rsidTr="001E5536">
        <w:trPr>
          <w:trHeight w:val="474"/>
          <w:jc w:val="center"/>
        </w:trPr>
        <w:tc>
          <w:tcPr>
            <w:tcW w:w="1612" w:type="pct"/>
            <w:tcBorders>
              <w:top w:val="single" w:sz="8" w:space="0" w:color="000000"/>
              <w:left w:val="single" w:sz="8" w:space="0" w:color="000000"/>
              <w:bottom w:val="single" w:sz="6" w:space="0" w:color="000000"/>
              <w:right w:val="single" w:sz="8" w:space="0" w:color="000000"/>
            </w:tcBorders>
            <w:vAlign w:val="center"/>
            <w:hideMark/>
          </w:tcPr>
          <w:p w14:paraId="0E4D67A0" w14:textId="41B530A1" w:rsidR="002D1B60" w:rsidRPr="00D46603" w:rsidRDefault="002D1B60" w:rsidP="001E0270">
            <w:pPr>
              <w:pStyle w:val="biaogeleft"/>
              <w:spacing w:before="0"/>
              <w:jc w:val="center"/>
              <w:rPr>
                <w:rFonts w:ascii="Times New Roman" w:hAnsi="Times New Roman"/>
              </w:rPr>
            </w:pPr>
            <w:r w:rsidRPr="00D46603">
              <w:rPr>
                <w:rFonts w:ascii="Times New Roman" w:hAnsi="Times New Roman" w:hint="eastAsia"/>
                <w:color w:val="000000"/>
              </w:rPr>
              <w:t>认购金额（</w:t>
            </w:r>
            <w:r w:rsidRPr="00D46603">
              <w:rPr>
                <w:rFonts w:ascii="Times New Roman" w:hAnsi="Times New Roman"/>
                <w:color w:val="000000"/>
              </w:rPr>
              <w:t>M</w:t>
            </w:r>
            <w:r w:rsidRPr="00D46603">
              <w:rPr>
                <w:rFonts w:ascii="Times New Roman" w:hAnsi="Times New Roman" w:hint="eastAsia"/>
                <w:color w:val="000000"/>
              </w:rPr>
              <w:t>）</w:t>
            </w:r>
          </w:p>
        </w:tc>
        <w:tc>
          <w:tcPr>
            <w:tcW w:w="1702" w:type="pct"/>
            <w:tcBorders>
              <w:top w:val="single" w:sz="8" w:space="0" w:color="000000"/>
              <w:left w:val="single" w:sz="8" w:space="0" w:color="000000"/>
              <w:bottom w:val="single" w:sz="6" w:space="0" w:color="000000"/>
              <w:right w:val="single" w:sz="8" w:space="0" w:color="000000"/>
            </w:tcBorders>
            <w:vAlign w:val="center"/>
            <w:hideMark/>
          </w:tcPr>
          <w:p w14:paraId="4A8D14DB" w14:textId="5F175FFC" w:rsidR="002D1B60" w:rsidRPr="00D46603" w:rsidRDefault="00F915EC" w:rsidP="001E0270">
            <w:pPr>
              <w:pStyle w:val="biaogeleft"/>
              <w:wordWrap w:val="0"/>
              <w:spacing w:before="0"/>
              <w:jc w:val="center"/>
              <w:rPr>
                <w:rFonts w:ascii="Times New Roman" w:hAnsi="Times New Roman"/>
              </w:rPr>
            </w:pPr>
            <w:r w:rsidRPr="00D46603">
              <w:rPr>
                <w:rFonts w:ascii="Times New Roman" w:hAnsi="Times New Roman" w:hint="eastAsia"/>
                <w:color w:val="000000"/>
              </w:rPr>
              <w:t>A</w:t>
            </w:r>
            <w:r w:rsidRPr="00D46603">
              <w:rPr>
                <w:rFonts w:ascii="Times New Roman" w:hAnsi="Times New Roman" w:hint="eastAsia"/>
                <w:color w:val="000000"/>
              </w:rPr>
              <w:t>类基金份额的认购费率（</w:t>
            </w:r>
            <w:r w:rsidR="001E0270" w:rsidRPr="00D46603">
              <w:rPr>
                <w:rFonts w:ascii="Times New Roman" w:hAnsi="Times New Roman" w:hint="eastAsia"/>
                <w:color w:val="000000"/>
              </w:rPr>
              <w:t>原费率</w:t>
            </w:r>
            <w:r w:rsidRPr="00D46603">
              <w:rPr>
                <w:rFonts w:ascii="Times New Roman" w:hAnsi="Times New Roman" w:hint="eastAsia"/>
                <w:color w:val="000000"/>
              </w:rPr>
              <w:t>）</w:t>
            </w:r>
          </w:p>
        </w:tc>
        <w:tc>
          <w:tcPr>
            <w:tcW w:w="1686" w:type="pct"/>
            <w:tcBorders>
              <w:top w:val="single" w:sz="8" w:space="0" w:color="000000"/>
              <w:left w:val="single" w:sz="8" w:space="0" w:color="000000"/>
              <w:bottom w:val="single" w:sz="6" w:space="0" w:color="000000"/>
              <w:right w:val="single" w:sz="8" w:space="0" w:color="000000"/>
            </w:tcBorders>
            <w:vAlign w:val="center"/>
          </w:tcPr>
          <w:p w14:paraId="2165E416" w14:textId="4F6DF7EA" w:rsidR="002D1B60" w:rsidRPr="00D46603" w:rsidRDefault="00F915EC" w:rsidP="001E5536">
            <w:pPr>
              <w:pStyle w:val="biaogeleft"/>
              <w:wordWrap w:val="0"/>
              <w:spacing w:before="0"/>
              <w:jc w:val="center"/>
              <w:rPr>
                <w:rFonts w:ascii="Times New Roman" w:hAnsi="Times New Roman"/>
              </w:rPr>
            </w:pPr>
            <w:r w:rsidRPr="00D46603">
              <w:rPr>
                <w:rFonts w:ascii="Times New Roman" w:hAnsi="Times New Roman" w:hint="eastAsia"/>
                <w:color w:val="000000"/>
              </w:rPr>
              <w:t>A</w:t>
            </w:r>
            <w:r w:rsidRPr="00D46603">
              <w:rPr>
                <w:rFonts w:ascii="Times New Roman" w:hAnsi="Times New Roman" w:hint="eastAsia"/>
                <w:color w:val="000000"/>
              </w:rPr>
              <w:t>类基金份额的认购费率（</w:t>
            </w:r>
            <w:r w:rsidR="001E0270" w:rsidRPr="00D46603">
              <w:rPr>
                <w:rFonts w:ascii="Times New Roman" w:hAnsi="Times New Roman" w:hint="eastAsia"/>
                <w:color w:val="000000"/>
              </w:rPr>
              <w:t>优惠费率</w:t>
            </w:r>
            <w:r w:rsidRPr="00D46603">
              <w:rPr>
                <w:rFonts w:ascii="Times New Roman" w:hAnsi="Times New Roman" w:hint="eastAsia"/>
                <w:color w:val="000000"/>
              </w:rPr>
              <w:t>）</w:t>
            </w:r>
          </w:p>
        </w:tc>
      </w:tr>
      <w:tr w:rsidR="002D1B60" w:rsidRPr="000C22EF" w14:paraId="0D8C0791" w14:textId="77777777" w:rsidTr="001E5536">
        <w:trPr>
          <w:trHeight w:val="494"/>
          <w:jc w:val="center"/>
        </w:trPr>
        <w:tc>
          <w:tcPr>
            <w:tcW w:w="1612" w:type="pct"/>
            <w:tcBorders>
              <w:top w:val="single" w:sz="8" w:space="0" w:color="000000"/>
              <w:left w:val="single" w:sz="8" w:space="0" w:color="000000"/>
              <w:bottom w:val="single" w:sz="6" w:space="0" w:color="000000"/>
              <w:right w:val="single" w:sz="8" w:space="0" w:color="000000"/>
            </w:tcBorders>
            <w:vAlign w:val="center"/>
            <w:hideMark/>
          </w:tcPr>
          <w:p w14:paraId="602D5C78" w14:textId="77777777" w:rsidR="002D1B60" w:rsidRPr="000C22EF" w:rsidRDefault="002D1B60" w:rsidP="001E5536">
            <w:pPr>
              <w:pStyle w:val="biaogeleft"/>
              <w:spacing w:before="0"/>
              <w:jc w:val="center"/>
              <w:rPr>
                <w:rFonts w:ascii="Times New Roman" w:hAnsi="Times New Roman"/>
              </w:rPr>
            </w:pPr>
            <w:r w:rsidRPr="000C22EF">
              <w:rPr>
                <w:rFonts w:ascii="Times New Roman" w:hAnsi="Times New Roman"/>
                <w:color w:val="000000"/>
                <w:szCs w:val="21"/>
              </w:rPr>
              <w:t>M&lt;100</w:t>
            </w:r>
            <w:r w:rsidRPr="000C22EF">
              <w:rPr>
                <w:rFonts w:ascii="Times New Roman" w:hAnsi="Times New Roman" w:hint="eastAsia"/>
                <w:color w:val="000000"/>
                <w:szCs w:val="21"/>
              </w:rPr>
              <w:t>万</w:t>
            </w:r>
          </w:p>
        </w:tc>
        <w:tc>
          <w:tcPr>
            <w:tcW w:w="1702" w:type="pct"/>
            <w:tcBorders>
              <w:top w:val="single" w:sz="8" w:space="0" w:color="000000"/>
              <w:left w:val="single" w:sz="8" w:space="0" w:color="000000"/>
              <w:bottom w:val="single" w:sz="6" w:space="0" w:color="000000"/>
              <w:right w:val="single" w:sz="8" w:space="0" w:color="000000"/>
            </w:tcBorders>
            <w:vAlign w:val="center"/>
            <w:hideMark/>
          </w:tcPr>
          <w:p w14:paraId="474149F9" w14:textId="77777777" w:rsidR="002D1B60" w:rsidRPr="000C22EF" w:rsidRDefault="002D1B60" w:rsidP="001E5536">
            <w:pPr>
              <w:pStyle w:val="biaogeleft"/>
              <w:wordWrap w:val="0"/>
              <w:spacing w:before="0"/>
              <w:jc w:val="center"/>
              <w:rPr>
                <w:rFonts w:ascii="Times New Roman" w:hAnsi="Times New Roman"/>
              </w:rPr>
            </w:pPr>
            <w:r w:rsidRPr="000C22EF">
              <w:rPr>
                <w:rFonts w:ascii="Times New Roman" w:hAnsi="Times New Roman"/>
                <w:color w:val="000000"/>
                <w:szCs w:val="21"/>
              </w:rPr>
              <w:t>1.20%</w:t>
            </w:r>
          </w:p>
        </w:tc>
        <w:tc>
          <w:tcPr>
            <w:tcW w:w="1686" w:type="pct"/>
            <w:tcBorders>
              <w:top w:val="single" w:sz="8" w:space="0" w:color="000000"/>
              <w:left w:val="single" w:sz="8" w:space="0" w:color="000000"/>
              <w:bottom w:val="single" w:sz="6" w:space="0" w:color="000000"/>
              <w:right w:val="single" w:sz="8" w:space="0" w:color="000000"/>
            </w:tcBorders>
            <w:vAlign w:val="center"/>
          </w:tcPr>
          <w:p w14:paraId="2EBFC241" w14:textId="77777777" w:rsidR="002D1B60" w:rsidRPr="000C22EF" w:rsidRDefault="00457645" w:rsidP="001E5536">
            <w:pPr>
              <w:pStyle w:val="biaogeleft"/>
              <w:wordWrap w:val="0"/>
              <w:spacing w:before="0"/>
              <w:jc w:val="center"/>
              <w:rPr>
                <w:rFonts w:ascii="Times New Roman" w:hAnsi="Times New Roman"/>
              </w:rPr>
            </w:pPr>
            <w:r w:rsidRPr="000C22EF">
              <w:rPr>
                <w:rFonts w:ascii="Times New Roman" w:hAnsi="Times New Roman"/>
                <w:color w:val="000000"/>
                <w:szCs w:val="21"/>
              </w:rPr>
              <w:t>0.12</w:t>
            </w:r>
            <w:r w:rsidR="002D1B60" w:rsidRPr="000C22EF">
              <w:rPr>
                <w:rFonts w:ascii="Times New Roman" w:hAnsi="Times New Roman"/>
                <w:color w:val="000000"/>
                <w:szCs w:val="21"/>
              </w:rPr>
              <w:t>%</w:t>
            </w:r>
          </w:p>
        </w:tc>
      </w:tr>
      <w:tr w:rsidR="002D1B60" w:rsidRPr="000C22EF" w14:paraId="68452DB1" w14:textId="77777777" w:rsidTr="001E5536">
        <w:trPr>
          <w:trHeight w:val="474"/>
          <w:jc w:val="center"/>
        </w:trPr>
        <w:tc>
          <w:tcPr>
            <w:tcW w:w="1612" w:type="pct"/>
            <w:tcBorders>
              <w:top w:val="single" w:sz="8" w:space="0" w:color="000000"/>
              <w:left w:val="single" w:sz="8" w:space="0" w:color="000000"/>
              <w:bottom w:val="single" w:sz="6" w:space="0" w:color="000000"/>
              <w:right w:val="single" w:sz="8" w:space="0" w:color="000000"/>
            </w:tcBorders>
            <w:vAlign w:val="center"/>
            <w:hideMark/>
          </w:tcPr>
          <w:p w14:paraId="500AF1E2" w14:textId="77777777" w:rsidR="002D1B60" w:rsidRPr="000C22EF" w:rsidRDefault="002D1B60" w:rsidP="001E5536">
            <w:pPr>
              <w:pStyle w:val="biaogeleft"/>
              <w:wordWrap w:val="0"/>
              <w:spacing w:before="0"/>
              <w:jc w:val="center"/>
              <w:rPr>
                <w:rFonts w:ascii="Times New Roman" w:hAnsi="Times New Roman"/>
              </w:rPr>
            </w:pPr>
            <w:r w:rsidRPr="000C22EF">
              <w:rPr>
                <w:rFonts w:ascii="Times New Roman" w:hAnsi="Times New Roman"/>
                <w:color w:val="000000"/>
                <w:szCs w:val="21"/>
              </w:rPr>
              <w:t>100</w:t>
            </w:r>
            <w:r w:rsidRPr="000C22EF">
              <w:rPr>
                <w:rFonts w:ascii="Times New Roman" w:hAnsi="Times New Roman" w:hint="eastAsia"/>
                <w:color w:val="000000"/>
                <w:szCs w:val="21"/>
              </w:rPr>
              <w:t>万≤</w:t>
            </w:r>
            <w:r w:rsidRPr="000C22EF">
              <w:rPr>
                <w:rFonts w:ascii="Times New Roman" w:hAnsi="Times New Roman"/>
                <w:color w:val="000000"/>
                <w:szCs w:val="21"/>
              </w:rPr>
              <w:t>M&lt;200</w:t>
            </w:r>
            <w:r w:rsidRPr="000C22EF">
              <w:rPr>
                <w:rFonts w:ascii="Times New Roman" w:hAnsi="Times New Roman" w:hint="eastAsia"/>
                <w:color w:val="000000"/>
                <w:szCs w:val="21"/>
              </w:rPr>
              <w:t>万</w:t>
            </w:r>
          </w:p>
        </w:tc>
        <w:tc>
          <w:tcPr>
            <w:tcW w:w="1702" w:type="pct"/>
            <w:tcBorders>
              <w:top w:val="single" w:sz="8" w:space="0" w:color="000000"/>
              <w:left w:val="single" w:sz="8" w:space="0" w:color="000000"/>
              <w:bottom w:val="single" w:sz="6" w:space="0" w:color="000000"/>
              <w:right w:val="single" w:sz="8" w:space="0" w:color="000000"/>
            </w:tcBorders>
            <w:vAlign w:val="center"/>
            <w:hideMark/>
          </w:tcPr>
          <w:p w14:paraId="4EEE4B62" w14:textId="77777777" w:rsidR="002D1B60" w:rsidRPr="000C22EF" w:rsidRDefault="002D1B60" w:rsidP="001E5536">
            <w:pPr>
              <w:pStyle w:val="biaogeleft"/>
              <w:wordWrap w:val="0"/>
              <w:spacing w:before="0"/>
              <w:jc w:val="center"/>
              <w:rPr>
                <w:rFonts w:ascii="Times New Roman" w:hAnsi="Times New Roman"/>
              </w:rPr>
            </w:pPr>
            <w:r w:rsidRPr="000C22EF">
              <w:rPr>
                <w:rFonts w:ascii="Times New Roman" w:hAnsi="Times New Roman"/>
                <w:color w:val="000000"/>
                <w:szCs w:val="21"/>
              </w:rPr>
              <w:t>0.80%</w:t>
            </w:r>
          </w:p>
        </w:tc>
        <w:tc>
          <w:tcPr>
            <w:tcW w:w="1686" w:type="pct"/>
            <w:tcBorders>
              <w:top w:val="single" w:sz="8" w:space="0" w:color="000000"/>
              <w:left w:val="single" w:sz="8" w:space="0" w:color="000000"/>
              <w:bottom w:val="single" w:sz="6" w:space="0" w:color="000000"/>
              <w:right w:val="single" w:sz="8" w:space="0" w:color="000000"/>
            </w:tcBorders>
            <w:vAlign w:val="center"/>
          </w:tcPr>
          <w:p w14:paraId="26CED81A" w14:textId="77777777" w:rsidR="002D1B60" w:rsidRPr="000C22EF" w:rsidRDefault="002D1B60" w:rsidP="001E5536">
            <w:pPr>
              <w:pStyle w:val="biaogeleft"/>
              <w:wordWrap w:val="0"/>
              <w:spacing w:before="0"/>
              <w:jc w:val="center"/>
              <w:rPr>
                <w:rFonts w:ascii="Times New Roman" w:hAnsi="Times New Roman"/>
              </w:rPr>
            </w:pPr>
            <w:r w:rsidRPr="000C22EF">
              <w:rPr>
                <w:rFonts w:ascii="Times New Roman" w:hAnsi="Times New Roman"/>
                <w:color w:val="000000"/>
                <w:szCs w:val="21"/>
              </w:rPr>
              <w:t>0.</w:t>
            </w:r>
            <w:r w:rsidR="00222118" w:rsidRPr="000C22EF">
              <w:rPr>
                <w:rFonts w:ascii="Times New Roman" w:hAnsi="Times New Roman"/>
                <w:color w:val="000000"/>
                <w:szCs w:val="21"/>
              </w:rPr>
              <w:t>0</w:t>
            </w:r>
            <w:r w:rsidRPr="000C22EF">
              <w:rPr>
                <w:rFonts w:ascii="Times New Roman" w:hAnsi="Times New Roman"/>
                <w:color w:val="000000"/>
                <w:szCs w:val="21"/>
              </w:rPr>
              <w:t>8%</w:t>
            </w:r>
          </w:p>
        </w:tc>
      </w:tr>
      <w:tr w:rsidR="002D1B60" w:rsidRPr="000C22EF" w14:paraId="2F492111" w14:textId="77777777" w:rsidTr="001E5536">
        <w:trPr>
          <w:trHeight w:val="474"/>
          <w:jc w:val="center"/>
        </w:trPr>
        <w:tc>
          <w:tcPr>
            <w:tcW w:w="1612" w:type="pct"/>
            <w:tcBorders>
              <w:top w:val="single" w:sz="8" w:space="0" w:color="000000"/>
              <w:left w:val="single" w:sz="8" w:space="0" w:color="000000"/>
              <w:bottom w:val="single" w:sz="6" w:space="0" w:color="000000"/>
              <w:right w:val="single" w:sz="8" w:space="0" w:color="000000"/>
            </w:tcBorders>
            <w:vAlign w:val="center"/>
            <w:hideMark/>
          </w:tcPr>
          <w:p w14:paraId="40F6CDBF" w14:textId="77777777" w:rsidR="002D1B60" w:rsidRPr="000C22EF" w:rsidRDefault="002D1B60" w:rsidP="001E5536">
            <w:pPr>
              <w:pStyle w:val="biaogeleft"/>
              <w:wordWrap w:val="0"/>
              <w:spacing w:before="0"/>
              <w:jc w:val="center"/>
              <w:rPr>
                <w:rFonts w:ascii="Times New Roman" w:hAnsi="Times New Roman"/>
              </w:rPr>
            </w:pPr>
            <w:r w:rsidRPr="000C22EF">
              <w:rPr>
                <w:rFonts w:ascii="Times New Roman" w:hAnsi="Times New Roman"/>
                <w:color w:val="000000"/>
                <w:szCs w:val="21"/>
              </w:rPr>
              <w:t>200</w:t>
            </w:r>
            <w:r w:rsidRPr="000C22EF">
              <w:rPr>
                <w:rFonts w:ascii="Times New Roman" w:hAnsi="Times New Roman" w:hint="eastAsia"/>
                <w:color w:val="000000"/>
                <w:szCs w:val="21"/>
              </w:rPr>
              <w:t>万≤</w:t>
            </w:r>
            <w:r w:rsidRPr="000C22EF">
              <w:rPr>
                <w:rFonts w:ascii="Times New Roman" w:hAnsi="Times New Roman"/>
                <w:color w:val="000000"/>
                <w:szCs w:val="21"/>
              </w:rPr>
              <w:t>M&lt;500</w:t>
            </w:r>
            <w:r w:rsidRPr="000C22EF">
              <w:rPr>
                <w:rFonts w:ascii="Times New Roman" w:hAnsi="Times New Roman" w:hint="eastAsia"/>
                <w:color w:val="000000"/>
                <w:szCs w:val="21"/>
              </w:rPr>
              <w:t>万</w:t>
            </w:r>
          </w:p>
        </w:tc>
        <w:tc>
          <w:tcPr>
            <w:tcW w:w="1702" w:type="pct"/>
            <w:tcBorders>
              <w:top w:val="single" w:sz="8" w:space="0" w:color="000000"/>
              <w:left w:val="single" w:sz="8" w:space="0" w:color="000000"/>
              <w:bottom w:val="single" w:sz="6" w:space="0" w:color="000000"/>
              <w:right w:val="single" w:sz="8" w:space="0" w:color="000000"/>
            </w:tcBorders>
            <w:vAlign w:val="center"/>
            <w:hideMark/>
          </w:tcPr>
          <w:p w14:paraId="573FE82F" w14:textId="77777777" w:rsidR="002D1B60" w:rsidRPr="000C22EF" w:rsidRDefault="002D1B60" w:rsidP="001E5536">
            <w:pPr>
              <w:pStyle w:val="biaogeleft"/>
              <w:wordWrap w:val="0"/>
              <w:spacing w:before="0"/>
              <w:jc w:val="center"/>
              <w:rPr>
                <w:rFonts w:ascii="Times New Roman" w:hAnsi="Times New Roman"/>
              </w:rPr>
            </w:pPr>
            <w:r w:rsidRPr="000C22EF">
              <w:rPr>
                <w:rFonts w:ascii="Times New Roman" w:hAnsi="Times New Roman"/>
                <w:color w:val="000000"/>
                <w:szCs w:val="21"/>
              </w:rPr>
              <w:t>0.30%</w:t>
            </w:r>
          </w:p>
        </w:tc>
        <w:tc>
          <w:tcPr>
            <w:tcW w:w="1686" w:type="pct"/>
            <w:tcBorders>
              <w:top w:val="single" w:sz="8" w:space="0" w:color="000000"/>
              <w:left w:val="single" w:sz="8" w:space="0" w:color="000000"/>
              <w:bottom w:val="single" w:sz="6" w:space="0" w:color="000000"/>
              <w:right w:val="single" w:sz="8" w:space="0" w:color="000000"/>
            </w:tcBorders>
            <w:vAlign w:val="center"/>
          </w:tcPr>
          <w:p w14:paraId="49BB3E12" w14:textId="77777777" w:rsidR="002D1B60" w:rsidRPr="000C22EF" w:rsidRDefault="002D1B60" w:rsidP="001E5536">
            <w:pPr>
              <w:pStyle w:val="biaogeleft"/>
              <w:wordWrap w:val="0"/>
              <w:spacing w:before="0"/>
              <w:jc w:val="center"/>
              <w:rPr>
                <w:rFonts w:ascii="Times New Roman" w:hAnsi="Times New Roman"/>
              </w:rPr>
            </w:pPr>
            <w:r w:rsidRPr="000C22EF">
              <w:rPr>
                <w:rFonts w:ascii="Times New Roman" w:hAnsi="Times New Roman"/>
                <w:color w:val="000000"/>
                <w:szCs w:val="21"/>
              </w:rPr>
              <w:t>0.</w:t>
            </w:r>
            <w:r w:rsidR="00222118" w:rsidRPr="000C22EF">
              <w:rPr>
                <w:rFonts w:ascii="Times New Roman" w:hAnsi="Times New Roman"/>
                <w:color w:val="000000"/>
                <w:szCs w:val="21"/>
              </w:rPr>
              <w:t>0</w:t>
            </w:r>
            <w:r w:rsidRPr="000C22EF">
              <w:rPr>
                <w:rFonts w:ascii="Times New Roman" w:hAnsi="Times New Roman"/>
                <w:color w:val="000000"/>
                <w:szCs w:val="21"/>
              </w:rPr>
              <w:t>3%</w:t>
            </w:r>
          </w:p>
        </w:tc>
      </w:tr>
      <w:tr w:rsidR="002D1B60" w:rsidRPr="000C22EF" w14:paraId="49263B36" w14:textId="77777777" w:rsidTr="001E5536">
        <w:trPr>
          <w:trHeight w:val="474"/>
          <w:jc w:val="center"/>
        </w:trPr>
        <w:tc>
          <w:tcPr>
            <w:tcW w:w="1612" w:type="pct"/>
            <w:tcBorders>
              <w:top w:val="single" w:sz="8" w:space="0" w:color="000000"/>
              <w:left w:val="single" w:sz="8" w:space="0" w:color="000000"/>
              <w:bottom w:val="single" w:sz="4" w:space="0" w:color="auto"/>
              <w:right w:val="single" w:sz="8" w:space="0" w:color="000000"/>
            </w:tcBorders>
            <w:vAlign w:val="center"/>
            <w:hideMark/>
          </w:tcPr>
          <w:p w14:paraId="23864B90" w14:textId="2A1703AF" w:rsidR="002D1B60" w:rsidRPr="000C22EF" w:rsidRDefault="001E0270" w:rsidP="001E5536">
            <w:pPr>
              <w:pStyle w:val="biaogeleft"/>
              <w:wordWrap w:val="0"/>
              <w:spacing w:before="0"/>
              <w:jc w:val="center"/>
              <w:rPr>
                <w:rFonts w:ascii="Times New Roman" w:hAnsi="Times New Roman"/>
              </w:rPr>
            </w:pPr>
            <w:r w:rsidRPr="000C22EF">
              <w:rPr>
                <w:rFonts w:ascii="Times New Roman" w:hAnsi="Times New Roman"/>
                <w:color w:val="000000"/>
              </w:rPr>
              <w:t>M</w:t>
            </w:r>
            <w:r w:rsidRPr="000C22EF">
              <w:rPr>
                <w:rFonts w:ascii="Times New Roman" w:hAnsi="Times New Roman" w:hint="eastAsia"/>
                <w:color w:val="000000"/>
              </w:rPr>
              <w:t>≥</w:t>
            </w:r>
            <w:r w:rsidRPr="000C22EF">
              <w:rPr>
                <w:rFonts w:ascii="Times New Roman" w:hAnsi="Times New Roman"/>
                <w:color w:val="000000"/>
              </w:rPr>
              <w:t>500</w:t>
            </w:r>
            <w:r w:rsidRPr="000C22EF">
              <w:rPr>
                <w:rFonts w:ascii="Times New Roman" w:hAnsi="Times New Roman" w:hint="eastAsia"/>
                <w:color w:val="000000"/>
              </w:rPr>
              <w:t>万元</w:t>
            </w:r>
          </w:p>
        </w:tc>
        <w:tc>
          <w:tcPr>
            <w:tcW w:w="1702" w:type="pct"/>
            <w:tcBorders>
              <w:top w:val="single" w:sz="8" w:space="0" w:color="000000"/>
              <w:left w:val="single" w:sz="8" w:space="0" w:color="000000"/>
              <w:bottom w:val="single" w:sz="4" w:space="0" w:color="auto"/>
              <w:right w:val="single" w:sz="8" w:space="0" w:color="000000"/>
            </w:tcBorders>
            <w:vAlign w:val="center"/>
            <w:hideMark/>
          </w:tcPr>
          <w:p w14:paraId="720DAA9A" w14:textId="08389AE9" w:rsidR="002D1B60" w:rsidRPr="000C22EF" w:rsidRDefault="001E0270" w:rsidP="001E5536">
            <w:pPr>
              <w:pStyle w:val="biaogeleft"/>
              <w:wordWrap w:val="0"/>
              <w:spacing w:before="0"/>
              <w:jc w:val="center"/>
              <w:rPr>
                <w:rFonts w:ascii="Times New Roman" w:hAnsi="Times New Roman"/>
              </w:rPr>
            </w:pPr>
            <w:r w:rsidRPr="000C22EF">
              <w:rPr>
                <w:rFonts w:ascii="Times New Roman" w:hAnsi="Times New Roman" w:hint="eastAsia"/>
                <w:color w:val="000000"/>
                <w:szCs w:val="21"/>
              </w:rPr>
              <w:t>单笔</w:t>
            </w:r>
            <w:r w:rsidR="002D1B60" w:rsidRPr="000C22EF">
              <w:rPr>
                <w:rFonts w:ascii="Times New Roman" w:hAnsi="Times New Roman"/>
                <w:color w:val="000000"/>
                <w:szCs w:val="21"/>
              </w:rPr>
              <w:t>1000</w:t>
            </w:r>
            <w:r w:rsidR="002D1B60" w:rsidRPr="000C22EF">
              <w:rPr>
                <w:rFonts w:ascii="Times New Roman" w:hAnsi="Times New Roman" w:hint="eastAsia"/>
                <w:color w:val="000000"/>
                <w:szCs w:val="21"/>
              </w:rPr>
              <w:t>元</w:t>
            </w:r>
          </w:p>
        </w:tc>
        <w:tc>
          <w:tcPr>
            <w:tcW w:w="1686" w:type="pct"/>
            <w:tcBorders>
              <w:top w:val="single" w:sz="8" w:space="0" w:color="000000"/>
              <w:left w:val="single" w:sz="8" w:space="0" w:color="000000"/>
              <w:bottom w:val="single" w:sz="4" w:space="0" w:color="auto"/>
              <w:right w:val="single" w:sz="8" w:space="0" w:color="000000"/>
            </w:tcBorders>
            <w:vAlign w:val="center"/>
          </w:tcPr>
          <w:p w14:paraId="1156C73D" w14:textId="33CEE616" w:rsidR="002D1B60" w:rsidRPr="000C22EF" w:rsidRDefault="001E0270" w:rsidP="001E5536">
            <w:pPr>
              <w:pStyle w:val="biaogeleft"/>
              <w:wordWrap w:val="0"/>
              <w:spacing w:before="0"/>
              <w:jc w:val="center"/>
              <w:rPr>
                <w:rFonts w:ascii="Times New Roman" w:hAnsi="Times New Roman"/>
              </w:rPr>
            </w:pPr>
            <w:r w:rsidRPr="000C22EF">
              <w:rPr>
                <w:rFonts w:ascii="Times New Roman" w:hAnsi="Times New Roman" w:hint="eastAsia"/>
                <w:color w:val="000000"/>
                <w:szCs w:val="21"/>
              </w:rPr>
              <w:t>单笔</w:t>
            </w:r>
            <w:r w:rsidR="002D1B60" w:rsidRPr="000C22EF">
              <w:rPr>
                <w:rFonts w:ascii="Times New Roman" w:hAnsi="Times New Roman"/>
                <w:color w:val="000000"/>
                <w:szCs w:val="21"/>
              </w:rPr>
              <w:t>1000</w:t>
            </w:r>
            <w:r w:rsidR="002D1B60" w:rsidRPr="000C22EF">
              <w:rPr>
                <w:rFonts w:ascii="Times New Roman" w:hAnsi="Times New Roman" w:hint="eastAsia"/>
                <w:color w:val="000000"/>
                <w:szCs w:val="21"/>
              </w:rPr>
              <w:t>元</w:t>
            </w:r>
          </w:p>
        </w:tc>
      </w:tr>
    </w:tbl>
    <w:p w14:paraId="3D2CC1FE" w14:textId="0836F704" w:rsidR="00E7203D" w:rsidRPr="000C22EF" w:rsidRDefault="0002165A" w:rsidP="00E7203D">
      <w:pPr>
        <w:pStyle w:val="1"/>
        <w:spacing w:before="0" w:after="0"/>
        <w:ind w:firstLineChars="200" w:firstLine="482"/>
        <w:jc w:val="both"/>
        <w:rPr>
          <w:sz w:val="24"/>
        </w:rPr>
      </w:pPr>
      <w:r w:rsidRPr="000C22EF">
        <w:rPr>
          <w:rFonts w:hint="eastAsia"/>
          <w:sz w:val="24"/>
        </w:rPr>
        <w:t>三</w:t>
      </w:r>
      <w:r w:rsidR="00E7203D" w:rsidRPr="000C22EF">
        <w:rPr>
          <w:rFonts w:hint="eastAsia"/>
          <w:sz w:val="24"/>
        </w:rPr>
        <w:t>、</w:t>
      </w:r>
      <w:r w:rsidR="00535CAF" w:rsidRPr="000C22EF">
        <w:rPr>
          <w:rFonts w:hint="eastAsia"/>
          <w:sz w:val="24"/>
        </w:rPr>
        <w:t>重要提示</w:t>
      </w:r>
    </w:p>
    <w:p w14:paraId="791B034A" w14:textId="5B13D7B5" w:rsidR="009D1491" w:rsidRPr="000C22EF" w:rsidRDefault="008F15EF" w:rsidP="009D1491">
      <w:pPr>
        <w:spacing w:line="360" w:lineRule="auto"/>
        <w:ind w:firstLineChars="200" w:firstLine="480"/>
        <w:rPr>
          <w:rFonts w:ascii="Times New Roman" w:eastAsia="宋体" w:hAnsi="Times New Roman"/>
          <w:sz w:val="24"/>
          <w:szCs w:val="24"/>
        </w:rPr>
      </w:pPr>
      <w:r w:rsidRPr="000C22EF">
        <w:rPr>
          <w:rFonts w:ascii="Times New Roman" w:eastAsia="宋体" w:hAnsi="Times New Roman" w:hint="eastAsia"/>
          <w:sz w:val="24"/>
          <w:szCs w:val="24"/>
        </w:rPr>
        <w:t>1</w:t>
      </w:r>
      <w:r w:rsidR="00B0703B" w:rsidRPr="000C22EF">
        <w:rPr>
          <w:rFonts w:ascii="Times New Roman" w:eastAsia="宋体" w:hAnsi="Times New Roman" w:hint="eastAsia"/>
          <w:sz w:val="24"/>
          <w:szCs w:val="24"/>
        </w:rPr>
        <w:t>、</w:t>
      </w:r>
      <w:r w:rsidR="009D1491" w:rsidRPr="000C22EF">
        <w:rPr>
          <w:rFonts w:ascii="Times New Roman" w:eastAsia="宋体" w:hAnsi="Times New Roman" w:hint="eastAsia"/>
          <w:sz w:val="24"/>
          <w:szCs w:val="24"/>
        </w:rPr>
        <w:t>投资者</w:t>
      </w:r>
      <w:r w:rsidR="00D1002C" w:rsidRPr="000C22EF">
        <w:rPr>
          <w:rFonts w:ascii="Times New Roman" w:eastAsia="宋体" w:hAnsi="Times New Roman" w:hint="eastAsia"/>
          <w:sz w:val="24"/>
          <w:szCs w:val="24"/>
        </w:rPr>
        <w:t>通过</w:t>
      </w:r>
      <w:r w:rsidR="009D1491" w:rsidRPr="000C22EF">
        <w:rPr>
          <w:rFonts w:ascii="Times New Roman" w:eastAsia="宋体" w:hAnsi="Times New Roman" w:hint="eastAsia"/>
          <w:sz w:val="24"/>
          <w:szCs w:val="24"/>
        </w:rPr>
        <w:t>本公司直销柜台认购上述基金，相关流程和业务规则应遵循上述基金的招募说明书、基金合同及本公司直销柜台的有关规定。</w:t>
      </w:r>
    </w:p>
    <w:p w14:paraId="1C5A1BCE" w14:textId="2540704B" w:rsidR="001E3FD0" w:rsidRPr="000C22EF" w:rsidRDefault="00B81B86" w:rsidP="009D1491">
      <w:pPr>
        <w:spacing w:line="360" w:lineRule="auto"/>
        <w:ind w:firstLineChars="200" w:firstLine="480"/>
        <w:rPr>
          <w:rFonts w:ascii="Times New Roman" w:eastAsia="宋体" w:hAnsi="Times New Roman"/>
          <w:sz w:val="24"/>
          <w:szCs w:val="24"/>
        </w:rPr>
      </w:pPr>
      <w:r w:rsidRPr="000C22EF">
        <w:rPr>
          <w:rFonts w:ascii="Times New Roman" w:eastAsia="宋体" w:hAnsi="Times New Roman" w:hint="eastAsia"/>
          <w:sz w:val="24"/>
          <w:szCs w:val="24"/>
        </w:rPr>
        <w:lastRenderedPageBreak/>
        <w:t>2</w:t>
      </w:r>
      <w:r w:rsidR="009D1491" w:rsidRPr="000C22EF">
        <w:rPr>
          <w:rFonts w:ascii="Times New Roman" w:eastAsia="宋体" w:hAnsi="Times New Roman" w:hint="eastAsia"/>
          <w:sz w:val="24"/>
          <w:szCs w:val="24"/>
        </w:rPr>
        <w:t>、关于费率优惠的相关事项若有调整，本公司将会及时公告。届时费率优惠相关事项以最新公告为准。</w:t>
      </w:r>
    </w:p>
    <w:p w14:paraId="47E9734B" w14:textId="42B636E8" w:rsidR="008665BB" w:rsidRPr="000C22EF" w:rsidRDefault="00B96695" w:rsidP="008665BB">
      <w:pPr>
        <w:spacing w:line="360" w:lineRule="auto"/>
        <w:ind w:firstLineChars="200" w:firstLine="480"/>
        <w:rPr>
          <w:rFonts w:ascii="Times New Roman" w:eastAsia="宋体" w:hAnsi="Times New Roman"/>
          <w:sz w:val="24"/>
          <w:szCs w:val="24"/>
        </w:rPr>
      </w:pPr>
      <w:r w:rsidRPr="000C22EF">
        <w:rPr>
          <w:rFonts w:ascii="Times New Roman" w:eastAsia="宋体" w:hAnsi="Times New Roman"/>
          <w:sz w:val="24"/>
          <w:szCs w:val="24"/>
        </w:rPr>
        <w:t>3</w:t>
      </w:r>
      <w:r w:rsidR="008B4B10" w:rsidRPr="000C22EF">
        <w:rPr>
          <w:rFonts w:ascii="Times New Roman" w:eastAsia="宋体" w:hAnsi="Times New Roman" w:hint="eastAsia"/>
          <w:sz w:val="24"/>
          <w:szCs w:val="24"/>
        </w:rPr>
        <w:t>、</w:t>
      </w:r>
      <w:r w:rsidR="008665BB" w:rsidRPr="000C22EF">
        <w:rPr>
          <w:rFonts w:ascii="Times New Roman" w:eastAsia="宋体" w:hAnsi="Times New Roman" w:hint="eastAsia"/>
          <w:sz w:val="24"/>
          <w:szCs w:val="24"/>
        </w:rPr>
        <w:t>本基金在本公司直销</w:t>
      </w:r>
      <w:r w:rsidR="00705FAC" w:rsidRPr="000C22EF">
        <w:rPr>
          <w:rFonts w:ascii="Times New Roman" w:eastAsia="宋体" w:hAnsi="Times New Roman" w:hint="eastAsia"/>
          <w:sz w:val="24"/>
          <w:szCs w:val="24"/>
        </w:rPr>
        <w:t>柜台</w:t>
      </w:r>
      <w:r w:rsidR="008665BB" w:rsidRPr="000C22EF">
        <w:rPr>
          <w:rFonts w:ascii="Times New Roman" w:eastAsia="宋体" w:hAnsi="Times New Roman" w:hint="eastAsia"/>
          <w:sz w:val="24"/>
          <w:szCs w:val="24"/>
        </w:rPr>
        <w:t>募集时间截止至</w:t>
      </w:r>
      <w:r w:rsidR="007A54B6" w:rsidRPr="000C22EF">
        <w:rPr>
          <w:rFonts w:ascii="Times New Roman" w:eastAsia="宋体" w:hAnsi="Times New Roman" w:hint="eastAsia"/>
          <w:sz w:val="24"/>
          <w:szCs w:val="24"/>
        </w:rPr>
        <w:t>202</w:t>
      </w:r>
      <w:r w:rsidR="007A54B6" w:rsidRPr="000C22EF">
        <w:rPr>
          <w:rFonts w:ascii="Times New Roman" w:eastAsia="宋体" w:hAnsi="Times New Roman"/>
          <w:sz w:val="24"/>
          <w:szCs w:val="24"/>
        </w:rPr>
        <w:t>2</w:t>
      </w:r>
      <w:r w:rsidR="008665BB" w:rsidRPr="000C22EF">
        <w:rPr>
          <w:rFonts w:ascii="Times New Roman" w:eastAsia="宋体" w:hAnsi="Times New Roman" w:hint="eastAsia"/>
          <w:sz w:val="24"/>
          <w:szCs w:val="24"/>
        </w:rPr>
        <w:t>年</w:t>
      </w:r>
      <w:r w:rsidR="007A54B6" w:rsidRPr="000C22EF">
        <w:rPr>
          <w:rFonts w:ascii="Times New Roman" w:eastAsia="宋体" w:hAnsi="Times New Roman"/>
          <w:sz w:val="24"/>
          <w:szCs w:val="24"/>
        </w:rPr>
        <w:t>8</w:t>
      </w:r>
      <w:r w:rsidR="008665BB" w:rsidRPr="000C22EF">
        <w:rPr>
          <w:rFonts w:ascii="Times New Roman" w:eastAsia="宋体" w:hAnsi="Times New Roman" w:hint="eastAsia"/>
          <w:sz w:val="24"/>
          <w:szCs w:val="24"/>
        </w:rPr>
        <w:t>月</w:t>
      </w:r>
      <w:r w:rsidR="007A54B6" w:rsidRPr="000C22EF">
        <w:rPr>
          <w:rFonts w:ascii="Times New Roman" w:eastAsia="宋体" w:hAnsi="Times New Roman"/>
          <w:sz w:val="24"/>
          <w:szCs w:val="24"/>
        </w:rPr>
        <w:t>5</w:t>
      </w:r>
      <w:r w:rsidR="008665BB" w:rsidRPr="000C22EF">
        <w:rPr>
          <w:rFonts w:ascii="Times New Roman" w:eastAsia="宋体" w:hAnsi="Times New Roman" w:hint="eastAsia"/>
          <w:sz w:val="24"/>
          <w:szCs w:val="24"/>
        </w:rPr>
        <w:t>日</w:t>
      </w:r>
      <w:r w:rsidR="008665BB" w:rsidRPr="000C22EF">
        <w:rPr>
          <w:rFonts w:ascii="Times New Roman" w:eastAsia="宋体" w:hAnsi="Times New Roman" w:hint="eastAsia"/>
          <w:sz w:val="24"/>
          <w:szCs w:val="24"/>
        </w:rPr>
        <w:t>17:00</w:t>
      </w:r>
      <w:r w:rsidR="008665BB" w:rsidRPr="000C22EF">
        <w:rPr>
          <w:rFonts w:ascii="Times New Roman" w:eastAsia="宋体" w:hAnsi="Times New Roman" w:hint="eastAsia"/>
          <w:sz w:val="24"/>
          <w:szCs w:val="24"/>
        </w:rPr>
        <w:t>。本公司也可根据基金销售情况在募集期限内适当延长或缩短基金发售时间，并及时公告。如遇延长或缩短基金发售时间，直销认购费率优惠同样延期或提前结束。</w:t>
      </w:r>
    </w:p>
    <w:p w14:paraId="259D4A73" w14:textId="34C926E2" w:rsidR="00190F48" w:rsidRPr="000C22EF" w:rsidRDefault="00B96695" w:rsidP="008665BB">
      <w:pPr>
        <w:spacing w:line="360" w:lineRule="auto"/>
        <w:ind w:firstLineChars="200" w:firstLine="480"/>
        <w:rPr>
          <w:rFonts w:ascii="Times New Roman" w:eastAsia="宋体" w:hAnsi="Times New Roman"/>
          <w:sz w:val="24"/>
          <w:szCs w:val="24"/>
        </w:rPr>
      </w:pPr>
      <w:r w:rsidRPr="000C22EF">
        <w:rPr>
          <w:rFonts w:ascii="Times New Roman" w:eastAsia="宋体" w:hAnsi="Times New Roman"/>
          <w:sz w:val="24"/>
          <w:szCs w:val="24"/>
        </w:rPr>
        <w:t>4</w:t>
      </w:r>
      <w:r w:rsidR="008665BB" w:rsidRPr="000C22EF">
        <w:rPr>
          <w:rFonts w:ascii="Times New Roman" w:eastAsia="宋体" w:hAnsi="Times New Roman" w:hint="eastAsia"/>
          <w:sz w:val="24"/>
          <w:szCs w:val="24"/>
        </w:rPr>
        <w:t>、投资者如有任何问题，可拨打本公司客户服务电话</w:t>
      </w:r>
      <w:r w:rsidR="009351D9" w:rsidRPr="000C22EF">
        <w:rPr>
          <w:rFonts w:ascii="Times New Roman" w:eastAsia="宋体" w:hAnsi="Times New Roman"/>
          <w:sz w:val="24"/>
          <w:szCs w:val="24"/>
        </w:rPr>
        <w:t>4000755716</w:t>
      </w:r>
      <w:r w:rsidR="008665BB" w:rsidRPr="000C22EF">
        <w:rPr>
          <w:rFonts w:ascii="Times New Roman" w:eastAsia="宋体" w:hAnsi="Times New Roman" w:hint="eastAsia"/>
          <w:sz w:val="24"/>
          <w:szCs w:val="24"/>
        </w:rPr>
        <w:t>，或登录本公司网站</w:t>
      </w:r>
      <w:r w:rsidR="00990BF2" w:rsidRPr="000C22EF">
        <w:rPr>
          <w:rFonts w:ascii="Times New Roman" w:eastAsia="宋体" w:hAnsi="Times New Roman"/>
          <w:sz w:val="24"/>
          <w:szCs w:val="24"/>
        </w:rPr>
        <w:t>www.toprightfund.com</w:t>
      </w:r>
      <w:r w:rsidR="008665BB" w:rsidRPr="000C22EF">
        <w:rPr>
          <w:rFonts w:ascii="Times New Roman" w:eastAsia="宋体" w:hAnsi="Times New Roman" w:hint="eastAsia"/>
          <w:sz w:val="24"/>
          <w:szCs w:val="24"/>
        </w:rPr>
        <w:t>查询。</w:t>
      </w:r>
    </w:p>
    <w:p w14:paraId="1E3DD2D4" w14:textId="1F3B7020" w:rsidR="00CB60C3" w:rsidRPr="000C22EF" w:rsidRDefault="000D652E" w:rsidP="00CB60C3">
      <w:pPr>
        <w:pStyle w:val="1"/>
        <w:spacing w:before="0" w:after="0"/>
        <w:ind w:firstLineChars="200" w:firstLine="482"/>
        <w:jc w:val="both"/>
        <w:rPr>
          <w:sz w:val="24"/>
        </w:rPr>
      </w:pPr>
      <w:r w:rsidRPr="000C22EF">
        <w:rPr>
          <w:rFonts w:hint="eastAsia"/>
          <w:sz w:val="24"/>
        </w:rPr>
        <w:t>四</w:t>
      </w:r>
      <w:r w:rsidR="00CB60C3" w:rsidRPr="000C22EF">
        <w:rPr>
          <w:rFonts w:hint="eastAsia"/>
          <w:sz w:val="24"/>
        </w:rPr>
        <w:t>、</w:t>
      </w:r>
      <w:r w:rsidR="00E41AFE" w:rsidRPr="000C22EF">
        <w:rPr>
          <w:rFonts w:hint="eastAsia"/>
          <w:sz w:val="24"/>
        </w:rPr>
        <w:t>风险</w:t>
      </w:r>
      <w:r w:rsidR="00CB60C3" w:rsidRPr="000C22EF">
        <w:rPr>
          <w:rFonts w:hint="eastAsia"/>
          <w:sz w:val="24"/>
        </w:rPr>
        <w:t>提示</w:t>
      </w:r>
    </w:p>
    <w:p w14:paraId="44CDD992" w14:textId="234720BC" w:rsidR="00EA181F" w:rsidRPr="000C22EF" w:rsidRDefault="00D1002C" w:rsidP="00EA181F">
      <w:pPr>
        <w:spacing w:line="360" w:lineRule="auto"/>
        <w:ind w:firstLineChars="200" w:firstLine="480"/>
        <w:rPr>
          <w:rFonts w:ascii="Times New Roman" w:eastAsia="宋体" w:hAnsi="Times New Roman"/>
          <w:sz w:val="24"/>
          <w:szCs w:val="24"/>
        </w:rPr>
      </w:pPr>
      <w:r w:rsidRPr="000C22EF">
        <w:rPr>
          <w:rFonts w:ascii="Times New Roman" w:eastAsia="宋体" w:hAnsi="Times New Roman" w:hint="eastAsia"/>
          <w:sz w:val="24"/>
          <w:szCs w:val="24"/>
        </w:rPr>
        <w:t>基金管理人依照恪尽职守、诚实信用、谨慎勤勉的原则管理和运用基金财产，但不保证投资于本基金一定盈利，也不保证最低收益。基金的过往业绩并不预示其未来表现，基金管理人管理的其他基金的业绩并不构成对本基金业绩表现的保证。基金管理人提醒投资人注意基金投资的“买者自负”原则，在</w:t>
      </w:r>
      <w:proofErr w:type="gramStart"/>
      <w:r w:rsidRPr="000C22EF">
        <w:rPr>
          <w:rFonts w:ascii="Times New Roman" w:eastAsia="宋体" w:hAnsi="Times New Roman" w:hint="eastAsia"/>
          <w:sz w:val="24"/>
          <w:szCs w:val="24"/>
        </w:rPr>
        <w:t>作出</w:t>
      </w:r>
      <w:proofErr w:type="gramEnd"/>
      <w:r w:rsidRPr="000C22EF">
        <w:rPr>
          <w:rFonts w:ascii="Times New Roman" w:eastAsia="宋体" w:hAnsi="Times New Roman" w:hint="eastAsia"/>
          <w:sz w:val="24"/>
          <w:szCs w:val="24"/>
        </w:rPr>
        <w:t>投资决策后，基金运营状况与基金净值变化引致的投资风险，由投资人自行负担。</w:t>
      </w:r>
    </w:p>
    <w:p w14:paraId="2820859D" w14:textId="0D3358EF" w:rsidR="00EA181F" w:rsidRPr="000C22EF" w:rsidRDefault="005273A7" w:rsidP="00EA181F">
      <w:pPr>
        <w:spacing w:line="360" w:lineRule="auto"/>
        <w:ind w:firstLineChars="200" w:firstLine="480"/>
        <w:rPr>
          <w:rFonts w:ascii="Times New Roman" w:eastAsia="宋体" w:hAnsi="Times New Roman"/>
          <w:sz w:val="24"/>
          <w:szCs w:val="24"/>
        </w:rPr>
      </w:pPr>
      <w:r w:rsidRPr="000C22EF">
        <w:rPr>
          <w:rFonts w:ascii="Times New Roman" w:eastAsia="宋体" w:hAnsi="Times New Roman" w:hint="eastAsia"/>
          <w:sz w:val="24"/>
          <w:szCs w:val="24"/>
        </w:rPr>
        <w:t>投资者投资于上述基金时应认真阅读上述基金的基金合同、招募说明书</w:t>
      </w:r>
      <w:r w:rsidR="005C0422" w:rsidRPr="000C22EF">
        <w:rPr>
          <w:rFonts w:ascii="Times New Roman" w:eastAsia="宋体" w:hAnsi="Times New Roman" w:hint="eastAsia"/>
          <w:sz w:val="24"/>
          <w:szCs w:val="24"/>
        </w:rPr>
        <w:t>、</w:t>
      </w:r>
      <w:r w:rsidR="00B57064" w:rsidRPr="000C22EF">
        <w:rPr>
          <w:rFonts w:ascii="Times New Roman" w:eastAsia="宋体" w:hAnsi="Times New Roman" w:hint="eastAsia"/>
          <w:sz w:val="24"/>
          <w:szCs w:val="24"/>
        </w:rPr>
        <w:t>基金</w:t>
      </w:r>
      <w:r w:rsidR="005C0422" w:rsidRPr="000C22EF">
        <w:rPr>
          <w:rFonts w:ascii="Times New Roman" w:eastAsia="宋体" w:hAnsi="Times New Roman" w:hint="eastAsia"/>
          <w:sz w:val="24"/>
          <w:szCs w:val="24"/>
        </w:rPr>
        <w:t>产品资料概要</w:t>
      </w:r>
      <w:r w:rsidRPr="000C22EF">
        <w:rPr>
          <w:rFonts w:ascii="Times New Roman" w:eastAsia="宋体" w:hAnsi="Times New Roman" w:hint="eastAsia"/>
          <w:sz w:val="24"/>
          <w:szCs w:val="24"/>
        </w:rPr>
        <w:t>等</w:t>
      </w:r>
      <w:r w:rsidR="00B57064" w:rsidRPr="000C22EF">
        <w:rPr>
          <w:rFonts w:ascii="Times New Roman" w:eastAsia="宋体" w:hAnsi="Times New Roman" w:hint="eastAsia"/>
          <w:sz w:val="24"/>
          <w:szCs w:val="24"/>
        </w:rPr>
        <w:t>基金</w:t>
      </w:r>
      <w:r w:rsidR="005C0422" w:rsidRPr="000C22EF">
        <w:rPr>
          <w:rFonts w:ascii="Times New Roman" w:eastAsia="宋体" w:hAnsi="Times New Roman" w:hint="eastAsia"/>
          <w:sz w:val="24"/>
          <w:szCs w:val="24"/>
        </w:rPr>
        <w:t>法律</w:t>
      </w:r>
      <w:r w:rsidRPr="000C22EF">
        <w:rPr>
          <w:rFonts w:ascii="Times New Roman" w:eastAsia="宋体" w:hAnsi="Times New Roman" w:hint="eastAsia"/>
          <w:sz w:val="24"/>
          <w:szCs w:val="24"/>
        </w:rPr>
        <w:t>文件。敬请投资者留意投资风险。</w:t>
      </w:r>
    </w:p>
    <w:p w14:paraId="02B2AE22" w14:textId="77777777" w:rsidR="00EA181F" w:rsidRPr="000C22EF" w:rsidRDefault="00EA181F" w:rsidP="00EA181F">
      <w:pPr>
        <w:spacing w:line="360" w:lineRule="auto"/>
        <w:ind w:firstLineChars="200" w:firstLine="480"/>
        <w:rPr>
          <w:rFonts w:ascii="Times New Roman" w:eastAsia="宋体" w:hAnsi="Times New Roman"/>
          <w:sz w:val="24"/>
          <w:szCs w:val="24"/>
        </w:rPr>
      </w:pPr>
    </w:p>
    <w:p w14:paraId="1BCEF684" w14:textId="77777777" w:rsidR="00693D0F" w:rsidRPr="000C22EF" w:rsidRDefault="00EA181F" w:rsidP="00EA181F">
      <w:pPr>
        <w:spacing w:line="360" w:lineRule="auto"/>
        <w:ind w:firstLineChars="200" w:firstLine="480"/>
        <w:rPr>
          <w:rFonts w:ascii="Times New Roman" w:eastAsia="宋体" w:hAnsi="Times New Roman"/>
          <w:sz w:val="24"/>
          <w:szCs w:val="24"/>
        </w:rPr>
      </w:pPr>
      <w:r w:rsidRPr="000C22EF">
        <w:rPr>
          <w:rFonts w:ascii="Times New Roman" w:eastAsia="宋体" w:hAnsi="Times New Roman" w:hint="eastAsia"/>
          <w:sz w:val="24"/>
          <w:szCs w:val="24"/>
        </w:rPr>
        <w:t>特此公告。</w:t>
      </w:r>
    </w:p>
    <w:p w14:paraId="6DD3E737" w14:textId="77777777" w:rsidR="008E14DA" w:rsidRPr="000C22EF" w:rsidRDefault="008E14DA" w:rsidP="00EA181F">
      <w:pPr>
        <w:spacing w:line="360" w:lineRule="auto"/>
        <w:ind w:firstLineChars="200" w:firstLine="480"/>
        <w:rPr>
          <w:rFonts w:ascii="Times New Roman" w:eastAsia="宋体" w:hAnsi="Times New Roman"/>
          <w:sz w:val="24"/>
          <w:szCs w:val="24"/>
        </w:rPr>
      </w:pPr>
    </w:p>
    <w:p w14:paraId="755A21D6" w14:textId="77777777" w:rsidR="008E14DA" w:rsidRPr="000C22EF" w:rsidRDefault="008E14DA" w:rsidP="00EA181F">
      <w:pPr>
        <w:spacing w:line="360" w:lineRule="auto"/>
        <w:ind w:firstLineChars="200" w:firstLine="480"/>
        <w:rPr>
          <w:rFonts w:ascii="Times New Roman" w:eastAsia="宋体" w:hAnsi="Times New Roman"/>
          <w:sz w:val="24"/>
          <w:szCs w:val="24"/>
        </w:rPr>
      </w:pPr>
    </w:p>
    <w:p w14:paraId="7A242F28" w14:textId="77777777" w:rsidR="00D1002C" w:rsidRPr="000C22EF" w:rsidRDefault="00D1002C" w:rsidP="00EA181F">
      <w:pPr>
        <w:spacing w:line="360" w:lineRule="auto"/>
        <w:ind w:firstLineChars="200" w:firstLine="480"/>
        <w:rPr>
          <w:rFonts w:ascii="Times New Roman" w:eastAsia="宋体" w:hAnsi="Times New Roman"/>
          <w:sz w:val="24"/>
          <w:szCs w:val="24"/>
        </w:rPr>
      </w:pPr>
    </w:p>
    <w:p w14:paraId="1DD10E7F" w14:textId="77777777" w:rsidR="008E14DA" w:rsidRPr="000C22EF" w:rsidRDefault="00400C2A" w:rsidP="00400C2A">
      <w:pPr>
        <w:spacing w:line="360" w:lineRule="auto"/>
        <w:ind w:firstLineChars="200" w:firstLine="480"/>
        <w:jc w:val="right"/>
        <w:rPr>
          <w:rFonts w:ascii="Times New Roman" w:eastAsia="宋体" w:hAnsi="Times New Roman"/>
          <w:sz w:val="24"/>
          <w:szCs w:val="24"/>
        </w:rPr>
      </w:pPr>
      <w:r w:rsidRPr="000C22EF">
        <w:rPr>
          <w:rFonts w:ascii="Times New Roman" w:eastAsia="宋体" w:hAnsi="Times New Roman"/>
          <w:sz w:val="24"/>
          <w:szCs w:val="24"/>
        </w:rPr>
        <w:t>尚</w:t>
      </w:r>
      <w:proofErr w:type="gramStart"/>
      <w:r w:rsidRPr="000C22EF">
        <w:rPr>
          <w:rFonts w:ascii="Times New Roman" w:eastAsia="宋体" w:hAnsi="Times New Roman"/>
          <w:sz w:val="24"/>
          <w:szCs w:val="24"/>
        </w:rPr>
        <w:t>正基金</w:t>
      </w:r>
      <w:proofErr w:type="gramEnd"/>
      <w:r w:rsidRPr="000C22EF">
        <w:rPr>
          <w:rFonts w:ascii="Times New Roman" w:eastAsia="宋体" w:hAnsi="Times New Roman"/>
          <w:sz w:val="24"/>
          <w:szCs w:val="24"/>
        </w:rPr>
        <w:t>管理有限公司</w:t>
      </w:r>
    </w:p>
    <w:p w14:paraId="7825EC6F" w14:textId="3A30E468" w:rsidR="00400C2A" w:rsidRPr="000C22EF" w:rsidRDefault="001B5665" w:rsidP="001E5536">
      <w:pPr>
        <w:spacing w:line="360" w:lineRule="auto"/>
        <w:ind w:right="240" w:firstLineChars="200" w:firstLine="480"/>
        <w:jc w:val="right"/>
        <w:rPr>
          <w:rFonts w:ascii="Times New Roman" w:eastAsia="宋体" w:hAnsi="Times New Roman"/>
          <w:sz w:val="24"/>
          <w:szCs w:val="24"/>
        </w:rPr>
      </w:pPr>
      <w:r w:rsidRPr="000C22EF">
        <w:rPr>
          <w:rFonts w:ascii="Times New Roman" w:eastAsia="宋体" w:hAnsi="Times New Roman" w:hint="eastAsia"/>
          <w:sz w:val="24"/>
          <w:szCs w:val="24"/>
        </w:rPr>
        <w:t>2</w:t>
      </w:r>
      <w:r w:rsidRPr="000C22EF">
        <w:rPr>
          <w:rFonts w:ascii="Times New Roman" w:eastAsia="宋体" w:hAnsi="Times New Roman"/>
          <w:sz w:val="24"/>
          <w:szCs w:val="24"/>
        </w:rPr>
        <w:t>022</w:t>
      </w:r>
      <w:r w:rsidRPr="000C22EF">
        <w:rPr>
          <w:rFonts w:ascii="Times New Roman" w:eastAsia="宋体" w:hAnsi="Times New Roman"/>
          <w:sz w:val="24"/>
          <w:szCs w:val="24"/>
        </w:rPr>
        <w:t>年</w:t>
      </w:r>
      <w:r>
        <w:rPr>
          <w:rFonts w:ascii="Times New Roman" w:eastAsia="宋体" w:hAnsi="Times New Roman"/>
          <w:sz w:val="24"/>
          <w:szCs w:val="24"/>
        </w:rPr>
        <w:t>7</w:t>
      </w:r>
      <w:r w:rsidR="004D55E7" w:rsidRPr="000C22EF">
        <w:rPr>
          <w:rFonts w:ascii="Times New Roman" w:eastAsia="宋体" w:hAnsi="Times New Roman"/>
          <w:sz w:val="24"/>
          <w:szCs w:val="24"/>
        </w:rPr>
        <w:t>月</w:t>
      </w:r>
      <w:bookmarkStart w:id="0" w:name="_GoBack"/>
      <w:bookmarkEnd w:id="0"/>
      <w:r>
        <w:rPr>
          <w:rFonts w:ascii="Times New Roman" w:eastAsia="宋体" w:hAnsi="Times New Roman"/>
          <w:sz w:val="24"/>
          <w:szCs w:val="24"/>
        </w:rPr>
        <w:t>14</w:t>
      </w:r>
      <w:r w:rsidR="004D55E7" w:rsidRPr="000C22EF">
        <w:rPr>
          <w:rFonts w:ascii="Times New Roman" w:eastAsia="宋体" w:hAnsi="Times New Roman"/>
          <w:sz w:val="24"/>
          <w:szCs w:val="24"/>
        </w:rPr>
        <w:t>日</w:t>
      </w:r>
    </w:p>
    <w:sectPr w:rsidR="00400C2A" w:rsidRPr="000C22EF">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B65BD" w14:textId="77777777" w:rsidR="00F14AEA" w:rsidRDefault="00F14AEA" w:rsidP="007C15FE">
      <w:r>
        <w:separator/>
      </w:r>
    </w:p>
  </w:endnote>
  <w:endnote w:type="continuationSeparator" w:id="0">
    <w:p w14:paraId="64D93380" w14:textId="77777777" w:rsidR="00F14AEA" w:rsidRDefault="00F14AEA" w:rsidP="007C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488448"/>
      <w:docPartObj>
        <w:docPartGallery w:val="Page Numbers (Bottom of Page)"/>
        <w:docPartUnique/>
      </w:docPartObj>
    </w:sdtPr>
    <w:sdtEndPr/>
    <w:sdtContent>
      <w:p w14:paraId="04DDF98B" w14:textId="6B37063D" w:rsidR="00E61C80" w:rsidRDefault="00E61C80">
        <w:pPr>
          <w:pStyle w:val="a4"/>
          <w:jc w:val="center"/>
        </w:pPr>
        <w:r>
          <w:fldChar w:fldCharType="begin"/>
        </w:r>
        <w:r>
          <w:instrText>PAGE   \* MERGEFORMAT</w:instrText>
        </w:r>
        <w:r>
          <w:fldChar w:fldCharType="separate"/>
        </w:r>
        <w:r w:rsidR="0062546E" w:rsidRPr="0062546E">
          <w:rPr>
            <w:noProof/>
            <w:lang w:val="zh-CN"/>
          </w:rPr>
          <w:t>2</w:t>
        </w:r>
        <w:r>
          <w:fldChar w:fldCharType="end"/>
        </w:r>
      </w:p>
    </w:sdtContent>
  </w:sdt>
  <w:p w14:paraId="1374C0ED" w14:textId="77777777" w:rsidR="00E61C80" w:rsidRDefault="00E61C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5552D" w14:textId="77777777" w:rsidR="00F14AEA" w:rsidRDefault="00F14AEA" w:rsidP="007C15FE">
      <w:r>
        <w:separator/>
      </w:r>
    </w:p>
  </w:footnote>
  <w:footnote w:type="continuationSeparator" w:id="0">
    <w:p w14:paraId="7FD944C8" w14:textId="77777777" w:rsidR="00F14AEA" w:rsidRDefault="00F14AEA" w:rsidP="007C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06542" w14:textId="0306B864" w:rsidR="005076DF" w:rsidRDefault="005076DF" w:rsidP="005076DF">
    <w:pPr>
      <w:pStyle w:val="a3"/>
      <w:jc w:val="left"/>
    </w:pPr>
    <w:r>
      <w:rPr>
        <w:noProof/>
      </w:rPr>
      <w:drawing>
        <wp:inline distT="0" distB="0" distL="0" distR="0" wp14:anchorId="33DC9717" wp14:editId="309D2121">
          <wp:extent cx="1835785" cy="31428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公司LOGO.jpg"/>
                  <pic:cNvPicPr/>
                </pic:nvPicPr>
                <pic:blipFill>
                  <a:blip r:embed="rId1">
                    <a:extLst>
                      <a:ext uri="{28A0092B-C50C-407E-A947-70E740481C1C}">
                        <a14:useLocalDpi xmlns:a14="http://schemas.microsoft.com/office/drawing/2010/main" val="0"/>
                      </a:ext>
                    </a:extLst>
                  </a:blip>
                  <a:stretch>
                    <a:fillRect/>
                  </a:stretch>
                </pic:blipFill>
                <pic:spPr>
                  <a:xfrm>
                    <a:off x="0" y="0"/>
                    <a:ext cx="1900470" cy="32536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D1"/>
    <w:rsid w:val="00012C53"/>
    <w:rsid w:val="0002165A"/>
    <w:rsid w:val="000256E0"/>
    <w:rsid w:val="00033266"/>
    <w:rsid w:val="00035140"/>
    <w:rsid w:val="00085A2F"/>
    <w:rsid w:val="000872C2"/>
    <w:rsid w:val="000874DF"/>
    <w:rsid w:val="000A1BDF"/>
    <w:rsid w:val="000C22EF"/>
    <w:rsid w:val="000C6B07"/>
    <w:rsid w:val="000D652E"/>
    <w:rsid w:val="000F068D"/>
    <w:rsid w:val="00130B06"/>
    <w:rsid w:val="00140E02"/>
    <w:rsid w:val="00151BF7"/>
    <w:rsid w:val="00190F48"/>
    <w:rsid w:val="001A0AB6"/>
    <w:rsid w:val="001A3740"/>
    <w:rsid w:val="001B5665"/>
    <w:rsid w:val="001C31E7"/>
    <w:rsid w:val="001D6642"/>
    <w:rsid w:val="001E0270"/>
    <w:rsid w:val="001E0E31"/>
    <w:rsid w:val="001E3FD0"/>
    <w:rsid w:val="001E5536"/>
    <w:rsid w:val="001F1F64"/>
    <w:rsid w:val="00200A33"/>
    <w:rsid w:val="00220A9F"/>
    <w:rsid w:val="00222118"/>
    <w:rsid w:val="00242C41"/>
    <w:rsid w:val="0024524C"/>
    <w:rsid w:val="00247B49"/>
    <w:rsid w:val="002816EF"/>
    <w:rsid w:val="00293CCE"/>
    <w:rsid w:val="002B69C2"/>
    <w:rsid w:val="002D1B60"/>
    <w:rsid w:val="002F47E0"/>
    <w:rsid w:val="002F560B"/>
    <w:rsid w:val="003248AE"/>
    <w:rsid w:val="00343E22"/>
    <w:rsid w:val="00351946"/>
    <w:rsid w:val="0035707C"/>
    <w:rsid w:val="00366F96"/>
    <w:rsid w:val="00367E5D"/>
    <w:rsid w:val="00386E87"/>
    <w:rsid w:val="0039003C"/>
    <w:rsid w:val="003922B2"/>
    <w:rsid w:val="00394240"/>
    <w:rsid w:val="003A03EC"/>
    <w:rsid w:val="003A35E1"/>
    <w:rsid w:val="003D0733"/>
    <w:rsid w:val="003F4203"/>
    <w:rsid w:val="003F69E4"/>
    <w:rsid w:val="00400C2A"/>
    <w:rsid w:val="004033E4"/>
    <w:rsid w:val="00406538"/>
    <w:rsid w:val="0044641C"/>
    <w:rsid w:val="00457645"/>
    <w:rsid w:val="00465AEC"/>
    <w:rsid w:val="0048341A"/>
    <w:rsid w:val="004A0EE5"/>
    <w:rsid w:val="004B5B59"/>
    <w:rsid w:val="004C4BD0"/>
    <w:rsid w:val="004D55E7"/>
    <w:rsid w:val="0050178F"/>
    <w:rsid w:val="005076DF"/>
    <w:rsid w:val="0051537D"/>
    <w:rsid w:val="005273A7"/>
    <w:rsid w:val="00531196"/>
    <w:rsid w:val="00534656"/>
    <w:rsid w:val="00535CAF"/>
    <w:rsid w:val="00553A96"/>
    <w:rsid w:val="005619C7"/>
    <w:rsid w:val="00580DA2"/>
    <w:rsid w:val="00586240"/>
    <w:rsid w:val="00591FBC"/>
    <w:rsid w:val="005A5184"/>
    <w:rsid w:val="005A6416"/>
    <w:rsid w:val="005B4FF4"/>
    <w:rsid w:val="005C0422"/>
    <w:rsid w:val="005C5301"/>
    <w:rsid w:val="005E4C6D"/>
    <w:rsid w:val="006004BA"/>
    <w:rsid w:val="0061696F"/>
    <w:rsid w:val="0062546E"/>
    <w:rsid w:val="00632700"/>
    <w:rsid w:val="00651633"/>
    <w:rsid w:val="00655D12"/>
    <w:rsid w:val="00683906"/>
    <w:rsid w:val="00693D0F"/>
    <w:rsid w:val="00694EC9"/>
    <w:rsid w:val="006D546E"/>
    <w:rsid w:val="00705FAC"/>
    <w:rsid w:val="00711774"/>
    <w:rsid w:val="00720F00"/>
    <w:rsid w:val="00731451"/>
    <w:rsid w:val="00743629"/>
    <w:rsid w:val="00750A6E"/>
    <w:rsid w:val="00753230"/>
    <w:rsid w:val="0076084C"/>
    <w:rsid w:val="00773776"/>
    <w:rsid w:val="00775F71"/>
    <w:rsid w:val="007A54B6"/>
    <w:rsid w:val="007A6847"/>
    <w:rsid w:val="007B633E"/>
    <w:rsid w:val="007C15FE"/>
    <w:rsid w:val="007C7B5D"/>
    <w:rsid w:val="007E25FB"/>
    <w:rsid w:val="008424E2"/>
    <w:rsid w:val="0084699B"/>
    <w:rsid w:val="00853853"/>
    <w:rsid w:val="008665BB"/>
    <w:rsid w:val="00882DF5"/>
    <w:rsid w:val="008B4B10"/>
    <w:rsid w:val="008C4AAB"/>
    <w:rsid w:val="008C5717"/>
    <w:rsid w:val="008C7F12"/>
    <w:rsid w:val="008D03E9"/>
    <w:rsid w:val="008E14DA"/>
    <w:rsid w:val="008F15EF"/>
    <w:rsid w:val="00933D4E"/>
    <w:rsid w:val="009351D9"/>
    <w:rsid w:val="00940941"/>
    <w:rsid w:val="00941337"/>
    <w:rsid w:val="00966455"/>
    <w:rsid w:val="00987BA7"/>
    <w:rsid w:val="00990BF2"/>
    <w:rsid w:val="00994779"/>
    <w:rsid w:val="009955C8"/>
    <w:rsid w:val="009A558B"/>
    <w:rsid w:val="009A66FA"/>
    <w:rsid w:val="009B6876"/>
    <w:rsid w:val="009C6DAB"/>
    <w:rsid w:val="009D1491"/>
    <w:rsid w:val="009D30A9"/>
    <w:rsid w:val="009D4D66"/>
    <w:rsid w:val="009D5116"/>
    <w:rsid w:val="009E5478"/>
    <w:rsid w:val="009F5A7D"/>
    <w:rsid w:val="00A04EA7"/>
    <w:rsid w:val="00A07ED1"/>
    <w:rsid w:val="00A11653"/>
    <w:rsid w:val="00A13A44"/>
    <w:rsid w:val="00A403F7"/>
    <w:rsid w:val="00A75225"/>
    <w:rsid w:val="00A97468"/>
    <w:rsid w:val="00B0703B"/>
    <w:rsid w:val="00B108EA"/>
    <w:rsid w:val="00B16D02"/>
    <w:rsid w:val="00B3328C"/>
    <w:rsid w:val="00B41C8D"/>
    <w:rsid w:val="00B43BF3"/>
    <w:rsid w:val="00B57064"/>
    <w:rsid w:val="00B81B86"/>
    <w:rsid w:val="00B84A65"/>
    <w:rsid w:val="00B9164B"/>
    <w:rsid w:val="00B96695"/>
    <w:rsid w:val="00BA2A21"/>
    <w:rsid w:val="00BB7DDF"/>
    <w:rsid w:val="00BC2921"/>
    <w:rsid w:val="00BC31B1"/>
    <w:rsid w:val="00BC31B5"/>
    <w:rsid w:val="00BD51E5"/>
    <w:rsid w:val="00BE7816"/>
    <w:rsid w:val="00C13C80"/>
    <w:rsid w:val="00C70DDE"/>
    <w:rsid w:val="00C7118D"/>
    <w:rsid w:val="00C80D51"/>
    <w:rsid w:val="00C8404E"/>
    <w:rsid w:val="00C92022"/>
    <w:rsid w:val="00C92CE9"/>
    <w:rsid w:val="00CB60C3"/>
    <w:rsid w:val="00D1002C"/>
    <w:rsid w:val="00D2228E"/>
    <w:rsid w:val="00D43D8A"/>
    <w:rsid w:val="00D44743"/>
    <w:rsid w:val="00D46603"/>
    <w:rsid w:val="00D571FD"/>
    <w:rsid w:val="00D64063"/>
    <w:rsid w:val="00D7109D"/>
    <w:rsid w:val="00D75AB1"/>
    <w:rsid w:val="00DD72B9"/>
    <w:rsid w:val="00DE2D68"/>
    <w:rsid w:val="00E13FB1"/>
    <w:rsid w:val="00E16D24"/>
    <w:rsid w:val="00E21DE7"/>
    <w:rsid w:val="00E22053"/>
    <w:rsid w:val="00E41AFE"/>
    <w:rsid w:val="00E426BF"/>
    <w:rsid w:val="00E43AF1"/>
    <w:rsid w:val="00E44362"/>
    <w:rsid w:val="00E45391"/>
    <w:rsid w:val="00E5143C"/>
    <w:rsid w:val="00E61C80"/>
    <w:rsid w:val="00E7203D"/>
    <w:rsid w:val="00E80852"/>
    <w:rsid w:val="00E855AF"/>
    <w:rsid w:val="00EA181F"/>
    <w:rsid w:val="00EA21D8"/>
    <w:rsid w:val="00EA4A91"/>
    <w:rsid w:val="00EA7D96"/>
    <w:rsid w:val="00EA7E65"/>
    <w:rsid w:val="00EB42B8"/>
    <w:rsid w:val="00EC01A0"/>
    <w:rsid w:val="00EC285A"/>
    <w:rsid w:val="00EC41FF"/>
    <w:rsid w:val="00EC5D79"/>
    <w:rsid w:val="00EE746B"/>
    <w:rsid w:val="00EF061E"/>
    <w:rsid w:val="00EF6AF8"/>
    <w:rsid w:val="00EF7AA8"/>
    <w:rsid w:val="00F001C4"/>
    <w:rsid w:val="00F13883"/>
    <w:rsid w:val="00F14AEA"/>
    <w:rsid w:val="00F242F3"/>
    <w:rsid w:val="00F31A70"/>
    <w:rsid w:val="00F326D7"/>
    <w:rsid w:val="00F326F2"/>
    <w:rsid w:val="00F3322F"/>
    <w:rsid w:val="00F352B8"/>
    <w:rsid w:val="00F43D65"/>
    <w:rsid w:val="00F513BB"/>
    <w:rsid w:val="00F53F9C"/>
    <w:rsid w:val="00F577D8"/>
    <w:rsid w:val="00F77768"/>
    <w:rsid w:val="00F875BE"/>
    <w:rsid w:val="00F915EC"/>
    <w:rsid w:val="00FB6173"/>
    <w:rsid w:val="00FC08B4"/>
    <w:rsid w:val="00FC36B4"/>
    <w:rsid w:val="00FC402A"/>
    <w:rsid w:val="00FE13DB"/>
    <w:rsid w:val="00FE7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2A71A"/>
  <w15:chartTrackingRefBased/>
  <w15:docId w15:val="{F08A3E53-3E90-4058-9367-AAECC537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1"/>
    <w:qFormat/>
    <w:rsid w:val="00DE2D68"/>
    <w:pPr>
      <w:keepNext/>
      <w:keepLines/>
      <w:spacing w:before="360" w:after="240" w:line="360" w:lineRule="auto"/>
      <w:jc w:val="left"/>
      <w:textAlignment w:val="baseline"/>
      <w:outlineLvl w:val="0"/>
    </w:pPr>
    <w:rPr>
      <w:rFonts w:ascii="Times New Roman" w:eastAsia="宋体" w:hAnsi="Times New Roman" w:cs="Times New Roman"/>
      <w:b/>
      <w:kern w:val="44"/>
      <w:sz w:val="44"/>
      <w:szCs w:val="20"/>
    </w:rPr>
  </w:style>
  <w:style w:type="paragraph" w:styleId="2">
    <w:name w:val="heading 2"/>
    <w:basedOn w:val="a"/>
    <w:next w:val="a"/>
    <w:link w:val="2Char"/>
    <w:uiPriority w:val="9"/>
    <w:unhideWhenUsed/>
    <w:qFormat/>
    <w:rsid w:val="00EE746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15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15FE"/>
    <w:rPr>
      <w:sz w:val="18"/>
      <w:szCs w:val="18"/>
    </w:rPr>
  </w:style>
  <w:style w:type="paragraph" w:styleId="a4">
    <w:name w:val="footer"/>
    <w:basedOn w:val="a"/>
    <w:link w:val="Char0"/>
    <w:uiPriority w:val="99"/>
    <w:unhideWhenUsed/>
    <w:rsid w:val="007C15FE"/>
    <w:pPr>
      <w:tabs>
        <w:tab w:val="center" w:pos="4153"/>
        <w:tab w:val="right" w:pos="8306"/>
      </w:tabs>
      <w:snapToGrid w:val="0"/>
      <w:jc w:val="left"/>
    </w:pPr>
    <w:rPr>
      <w:sz w:val="18"/>
      <w:szCs w:val="18"/>
    </w:rPr>
  </w:style>
  <w:style w:type="character" w:customStyle="1" w:styleId="Char0">
    <w:name w:val="页脚 Char"/>
    <w:basedOn w:val="a0"/>
    <w:link w:val="a4"/>
    <w:uiPriority w:val="99"/>
    <w:rsid w:val="007C15FE"/>
    <w:rPr>
      <w:sz w:val="18"/>
      <w:szCs w:val="18"/>
    </w:rPr>
  </w:style>
  <w:style w:type="character" w:customStyle="1" w:styleId="1Char">
    <w:name w:val="标题 1 Char"/>
    <w:basedOn w:val="a0"/>
    <w:uiPriority w:val="9"/>
    <w:rsid w:val="00DE2D68"/>
    <w:rPr>
      <w:b/>
      <w:bCs/>
      <w:kern w:val="44"/>
      <w:sz w:val="44"/>
      <w:szCs w:val="44"/>
    </w:rPr>
  </w:style>
  <w:style w:type="character" w:customStyle="1" w:styleId="1Char1">
    <w:name w:val="标题 1 Char1"/>
    <w:link w:val="1"/>
    <w:rsid w:val="00DE2D68"/>
    <w:rPr>
      <w:rFonts w:ascii="Times New Roman" w:eastAsia="宋体" w:hAnsi="Times New Roman" w:cs="Times New Roman"/>
      <w:b/>
      <w:kern w:val="44"/>
      <w:sz w:val="44"/>
      <w:szCs w:val="20"/>
    </w:rPr>
  </w:style>
  <w:style w:type="paragraph" w:customStyle="1" w:styleId="biaogeleft">
    <w:name w:val="biaoge_left"/>
    <w:basedOn w:val="a"/>
    <w:rsid w:val="003248AE"/>
    <w:pPr>
      <w:widowControl/>
      <w:autoSpaceDE w:val="0"/>
      <w:autoSpaceDN w:val="0"/>
      <w:adjustRightInd w:val="0"/>
      <w:spacing w:before="29" w:line="288" w:lineRule="auto"/>
      <w:ind w:left="15"/>
      <w:jc w:val="left"/>
    </w:pPr>
    <w:rPr>
      <w:rFonts w:ascii="宋体" w:eastAsia="宋体" w:hAnsi="宋体" w:cs="宋体"/>
      <w:kern w:val="0"/>
      <w:sz w:val="24"/>
      <w:szCs w:val="24"/>
    </w:rPr>
  </w:style>
  <w:style w:type="character" w:customStyle="1" w:styleId="2Char">
    <w:name w:val="标题 2 Char"/>
    <w:basedOn w:val="a0"/>
    <w:link w:val="2"/>
    <w:uiPriority w:val="9"/>
    <w:rsid w:val="00EE746B"/>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853853"/>
    <w:rPr>
      <w:sz w:val="21"/>
      <w:szCs w:val="21"/>
    </w:rPr>
  </w:style>
  <w:style w:type="paragraph" w:styleId="a6">
    <w:name w:val="annotation text"/>
    <w:basedOn w:val="a"/>
    <w:link w:val="Char1"/>
    <w:uiPriority w:val="99"/>
    <w:semiHidden/>
    <w:unhideWhenUsed/>
    <w:rsid w:val="00853853"/>
    <w:pPr>
      <w:jc w:val="left"/>
    </w:pPr>
  </w:style>
  <w:style w:type="character" w:customStyle="1" w:styleId="Char1">
    <w:name w:val="批注文字 Char"/>
    <w:basedOn w:val="a0"/>
    <w:link w:val="a6"/>
    <w:uiPriority w:val="99"/>
    <w:semiHidden/>
    <w:rsid w:val="00853853"/>
  </w:style>
  <w:style w:type="paragraph" w:styleId="a7">
    <w:name w:val="annotation subject"/>
    <w:basedOn w:val="a6"/>
    <w:next w:val="a6"/>
    <w:link w:val="Char2"/>
    <w:uiPriority w:val="99"/>
    <w:semiHidden/>
    <w:unhideWhenUsed/>
    <w:rsid w:val="00853853"/>
    <w:rPr>
      <w:b/>
      <w:bCs/>
    </w:rPr>
  </w:style>
  <w:style w:type="character" w:customStyle="1" w:styleId="Char2">
    <w:name w:val="批注主题 Char"/>
    <w:basedOn w:val="Char1"/>
    <w:link w:val="a7"/>
    <w:uiPriority w:val="99"/>
    <w:semiHidden/>
    <w:rsid w:val="00853853"/>
    <w:rPr>
      <w:b/>
      <w:bCs/>
    </w:rPr>
  </w:style>
  <w:style w:type="paragraph" w:styleId="a8">
    <w:name w:val="Balloon Text"/>
    <w:basedOn w:val="a"/>
    <w:link w:val="Char3"/>
    <w:uiPriority w:val="99"/>
    <w:semiHidden/>
    <w:unhideWhenUsed/>
    <w:rsid w:val="00853853"/>
    <w:rPr>
      <w:sz w:val="18"/>
      <w:szCs w:val="18"/>
    </w:rPr>
  </w:style>
  <w:style w:type="character" w:customStyle="1" w:styleId="Char3">
    <w:name w:val="批注框文本 Char"/>
    <w:basedOn w:val="a0"/>
    <w:link w:val="a8"/>
    <w:uiPriority w:val="99"/>
    <w:semiHidden/>
    <w:rsid w:val="008538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1146</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邱晓云</dc:creator>
  <cp:keywords/>
  <dc:description/>
  <cp:lastModifiedBy>邱晓云</cp:lastModifiedBy>
  <cp:revision>263</cp:revision>
  <dcterms:created xsi:type="dcterms:W3CDTF">2021-09-09T06:29:00Z</dcterms:created>
  <dcterms:modified xsi:type="dcterms:W3CDTF">2022-07-12T06:55:00Z</dcterms:modified>
</cp:coreProperties>
</file>